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header2.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21.odttf" ContentType="application/vnd.openxmlformats-officedocument.obfuscatedFont"/>
  <Override PartName="/word/fonts/font22.odttf" ContentType="application/vnd.openxmlformats-officedocument.obfuscatedFont"/>
  <Override PartName="/word/fonts/font23.odttf" ContentType="application/vnd.openxmlformats-officedocument.obfuscatedFont"/>
  <Override PartName="/word/fonts/font24.odttf" ContentType="application/vnd.openxmlformats-officedocument.obfuscatedFont"/>
  <Override PartName="/word/fonts/font25.odttf" ContentType="application/vnd.openxmlformats-officedocument.obfuscatedFont"/>
  <Override PartName="/word/fonts/font26.odttf" ContentType="application/vnd.openxmlformats-officedocument.obfuscatedFont"/>
  <Override PartName="/word/fonts/font27.odttf" ContentType="application/vnd.openxmlformats-officedocument.obfuscatedFont"/>
  <Override PartName="/word/fonts/font28.odttf" ContentType="application/vnd.openxmlformats-officedocument.obfuscatedFont"/>
  <Override PartName="/word/fonts/font29.odttf" ContentType="application/vnd.openxmlformats-officedocument.obfuscatedFont"/>
  <Override PartName="/word/fonts/font30.odttf" ContentType="application/vnd.openxmlformats-officedocument.obfuscatedFont"/>
  <Override PartName="/word/fonts/font31.odttf" ContentType="application/vnd.openxmlformats-officedocument.obfuscatedFont"/>
  <Override PartName="/word/fonts/font32.odttf" ContentType="application/vnd.openxmlformats-officedocument.obfuscatedFont"/>
  <Override PartName="/word/fonts/font33.odttf" ContentType="application/vnd.openxmlformats-officedocument.obfuscatedFont"/>
  <Override PartName="/word/fonts/font34.odttf" ContentType="application/vnd.openxmlformats-officedocument.obfuscatedFont"/>
  <Override PartName="/word/fonts/font35.odttf" ContentType="application/vnd.openxmlformats-officedocument.obfuscatedFont"/>
  <Override PartName="/word/fonts/font36.odttf" ContentType="application/vnd.openxmlformats-officedocument.obfuscatedFont"/>
  <Override PartName="/word/fonts/font37.odttf" ContentType="application/vnd.openxmlformats-officedocument.obfuscatedFont"/>
  <Override PartName="/word/fonts/font38.odttf" ContentType="application/vnd.openxmlformats-officedocument.obfuscatedFont"/>
  <Override PartName="/word/fonts/font39.odttf" ContentType="application/vnd.openxmlformats-officedocument.obfuscatedFont"/>
  <Override PartName="/word/fonts/font40.odttf" ContentType="application/vnd.openxmlformats-officedocument.obfuscatedFont"/>
  <Override PartName="/word/fonts/font41.odttf" ContentType="application/vnd.openxmlformats-officedocument.obfuscatedFont"/>
  <Override PartName="/word/fonts/font42.odttf" ContentType="application/vnd.openxmlformats-officedocument.obfuscatedFont"/>
  <Override PartName="/word/fonts/font43.odttf" ContentType="application/vnd.openxmlformats-officedocument.obfuscatedFont"/>
  <Override PartName="/word/fonts/font44.odttf" ContentType="application/vnd.openxmlformats-officedocument.obfuscatedFont"/>
  <Override PartName="/word/fonts/font45.odttf" ContentType="application/vnd.openxmlformats-officedocument.obfuscatedFont"/>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ntTable.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keepNext w:val="true"/>
        <w:keepLines w:val="false"/>
        <w:widowControl/>
        <w:pBdr/>
        <w:shd w:val="clear" w:fill="auto"/>
        <w:spacing w:lineRule="auto" w:line="276" w:before="0" w:after="60"/>
        <w:ind w:firstLine="3" w:left="0" w:right="0"/>
        <w:jc w:val="center"/>
        <w:rPr>
          <w:rFonts w:ascii="Arial Narrow" w:hAnsi="Arial Narrow" w:eastAsia="Arial Narrow" w:cs="Arial Narrow"/>
          <w:b/>
          <w:bCs/>
          <w:i w:val="false"/>
          <w:i w:val="false"/>
          <w:iCs w:val="false"/>
          <w:smallCaps/>
          <w:strike w:val="false"/>
          <w:dstrike w:val="false"/>
          <w:color w:val="000000"/>
          <w:position w:val="0"/>
          <w:sz w:val="22"/>
          <w:sz w:val="22"/>
          <w:szCs w:val="22"/>
          <w:u w:val="single"/>
          <w:shd w:fill="auto" w:val="clear"/>
          <w:vertAlign w:val="baseline"/>
        </w:rPr>
      </w:pPr>
      <w:bookmarkStart w:id="0" w:name="_heading=h.2iq8gzs"/>
      <w:bookmarkEnd w:id="0"/>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ANEXO NÚM. 5: DECLARACIÓN RESPONSABLE SOBRE CRITERIOS DE SOLVENCIA 1</w:t>
      </w:r>
    </w:p>
    <w:p>
      <w:pPr>
        <w:pStyle w:val="Normal1"/>
        <w:spacing w:lineRule="auto" w:line="276"/>
        <w:ind w:firstLine="3"/>
        <w:jc w:val="both"/>
        <w:rPr>
          <w:rFonts w:ascii="Arial Narrow" w:hAnsi="Arial Narrow" w:eastAsia="Arial Narrow" w:cs="Arial Narrow"/>
          <w:sz w:val="21"/>
          <w:szCs w:val="21"/>
        </w:rPr>
      </w:pPr>
      <w:r>
        <w:rPr>
          <w:rFonts w:eastAsia="Arial Narrow" w:cs="Arial Narrow" w:ascii="Arial Narrow" w:hAnsi="Arial Narrow"/>
          <w:sz w:val="21"/>
          <w:szCs w:val="21"/>
        </w:rPr>
      </w:r>
    </w:p>
    <w:p>
      <w:pPr>
        <w:pStyle w:val="Normal1"/>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 xml:space="preserve">El/la abajo firmante, con DNI [●], actuando en nombre propio / en representación de la sociedad [●], con N.I.F. [●], actuando en su condición de [●], acepta incondicionalmente los </w:t>
      </w:r>
      <w:r>
        <w:rPr>
          <w:rFonts w:eastAsia="Arial Narrow" w:cs="Arial Narrow" w:ascii="Arial Narrow" w:hAnsi="Arial Narrow"/>
          <w:sz w:val="21"/>
          <w:szCs w:val="21"/>
        </w:rPr>
        <w:t>P</w:t>
      </w:r>
      <w:r>
        <w:rPr>
          <w:rFonts w:eastAsia="Arial Narrow" w:cs="Arial Narrow" w:ascii="Arial Narrow" w:hAnsi="Arial Narrow"/>
          <w:color w:val="000000"/>
          <w:sz w:val="21"/>
          <w:szCs w:val="21"/>
        </w:rPr>
        <w:t xml:space="preserve">liegos de </w:t>
      </w:r>
      <w:r>
        <w:rPr>
          <w:rFonts w:eastAsia="Arial Narrow" w:cs="Arial Narrow" w:ascii="Arial Narrow" w:hAnsi="Arial Narrow"/>
          <w:sz w:val="21"/>
          <w:szCs w:val="21"/>
        </w:rPr>
        <w:t>C</w:t>
      </w:r>
      <w:r>
        <w:rPr>
          <w:rFonts w:eastAsia="Arial Narrow" w:cs="Arial Narrow" w:ascii="Arial Narrow" w:hAnsi="Arial Narrow"/>
          <w:color w:val="000000"/>
          <w:sz w:val="21"/>
          <w:szCs w:val="21"/>
        </w:rPr>
        <w:t xml:space="preserve">ondiciones </w:t>
      </w:r>
      <w:r>
        <w:rPr>
          <w:rFonts w:eastAsia="Arial Narrow" w:cs="Arial Narrow" w:ascii="Arial Narrow" w:hAnsi="Arial Narrow"/>
          <w:sz w:val="21"/>
          <w:szCs w:val="21"/>
        </w:rPr>
        <w:t>Generales</w:t>
      </w:r>
      <w:r>
        <w:rPr>
          <w:rFonts w:eastAsia="Arial Narrow" w:cs="Arial Narrow" w:ascii="Arial Narrow" w:hAnsi="Arial Narrow"/>
          <w:color w:val="000000"/>
          <w:sz w:val="21"/>
          <w:szCs w:val="21"/>
        </w:rPr>
        <w:t xml:space="preserve"> y de </w:t>
      </w:r>
      <w:r>
        <w:rPr>
          <w:rFonts w:eastAsia="Arial Narrow" w:cs="Arial Narrow" w:ascii="Arial Narrow" w:hAnsi="Arial Narrow"/>
          <w:sz w:val="21"/>
          <w:szCs w:val="21"/>
        </w:rPr>
        <w:t>P</w:t>
      </w:r>
      <w:r>
        <w:rPr>
          <w:rFonts w:eastAsia="Arial Narrow" w:cs="Arial Narrow" w:ascii="Arial Narrow" w:hAnsi="Arial Narrow"/>
          <w:color w:val="000000"/>
          <w:sz w:val="21"/>
          <w:szCs w:val="21"/>
        </w:rPr>
        <w:t xml:space="preserve">rescripciones </w:t>
      </w:r>
      <w:r>
        <w:rPr>
          <w:rFonts w:eastAsia="Arial Narrow" w:cs="Arial Narrow" w:ascii="Arial Narrow" w:hAnsi="Arial Narrow"/>
          <w:sz w:val="21"/>
          <w:szCs w:val="21"/>
        </w:rPr>
        <w:t>T</w:t>
      </w:r>
      <w:r>
        <w:rPr>
          <w:rFonts w:eastAsia="Arial Narrow" w:cs="Arial Narrow" w:ascii="Arial Narrow" w:hAnsi="Arial Narrow"/>
          <w:color w:val="000000"/>
          <w:sz w:val="21"/>
          <w:szCs w:val="21"/>
        </w:rPr>
        <w:t xml:space="preserve">écnicas que rigen el procedimiento de adjudicación </w:t>
      </w:r>
      <w:r>
        <w:rPr>
          <w:rFonts w:eastAsia="Arial Narrow" w:cs="Arial Narrow" w:ascii="Arial Narrow" w:hAnsi="Arial Narrow"/>
          <w:sz w:val="21"/>
          <w:szCs w:val="21"/>
        </w:rPr>
        <w:t xml:space="preserve">de los servicios de lectura de contadores para empresas del Grupo VEOLIA </w:t>
      </w:r>
      <w:r>
        <w:rPr>
          <w:rFonts w:eastAsia="Arial Narrow" w:cs="Arial Narrow" w:ascii="Arial Narrow" w:hAnsi="Arial Narrow"/>
          <w:color w:val="000000"/>
          <w:sz w:val="21"/>
          <w:szCs w:val="21"/>
        </w:rPr>
        <w:t>(</w:t>
      </w:r>
      <w:r>
        <w:rPr>
          <w:rFonts w:eastAsia="Arial Narrow" w:cs="Arial Narrow" w:ascii="Arial Narrow" w:hAnsi="Arial Narrow"/>
          <w:sz w:val="21"/>
          <w:szCs w:val="21"/>
        </w:rPr>
        <w:t>Referencia 2025_C19_0007)</w:t>
      </w:r>
      <w:r>
        <w:rPr>
          <w:rFonts w:eastAsia="Arial Narrow" w:cs="Arial Narrow" w:ascii="Arial Narrow" w:hAnsi="Arial Narrow"/>
          <w:color w:val="000000"/>
          <w:sz w:val="21"/>
          <w:szCs w:val="21"/>
        </w:rPr>
        <w:t>, y se compromete a ejecutar el contrato con estricta sujeción a los requisitos y condiciones contenidos en los mismos, declara responsablemente</w:t>
      </w:r>
      <w:r>
        <w:rPr>
          <w:rFonts w:eastAsia="Arial Narrow" w:cs="Arial Narrow" w:ascii="Arial Narrow" w:hAnsi="Arial Narrow"/>
          <w:sz w:val="21"/>
          <w:szCs w:val="21"/>
        </w:rPr>
        <w:t>:</w:t>
      </w:r>
    </w:p>
    <w:p>
      <w:pPr>
        <w:pStyle w:val="Normal1"/>
        <w:spacing w:lineRule="auto" w:line="276"/>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highlight w:val="yellow"/>
        </w:rPr>
      </w:r>
    </w:p>
    <w:p>
      <w:pPr>
        <w:pStyle w:val="Normal1"/>
        <w:numPr>
          <w:ilvl w:val="0"/>
          <w:numId w:val="1"/>
        </w:numPr>
        <w:spacing w:lineRule="auto" w:line="276"/>
        <w:ind w:hanging="360" w:left="720"/>
        <w:jc w:val="both"/>
        <w:rPr>
          <w:rFonts w:ascii="Arial Narrow" w:hAnsi="Arial Narrow" w:eastAsia="Arial Narrow" w:cs="Arial Narrow"/>
          <w:sz w:val="21"/>
          <w:szCs w:val="21"/>
        </w:rPr>
      </w:pPr>
      <w:r>
        <w:rPr>
          <w:rFonts w:eastAsia="Arial Narrow" w:cs="Arial Narrow" w:ascii="Arial Narrow" w:hAnsi="Arial Narrow"/>
          <w:sz w:val="21"/>
          <w:szCs w:val="21"/>
        </w:rPr>
        <w:t>Que, cumpliendo todas las condiciones legalmente establecidas para contratar, así como las condiciones que rigen la presente licitación se compromete, en caso de resultar propuesto como adjudicatario, a acreditar tales circunstancias, mediante la presentación de la documentación administrativa a que se refiere el Pliego de Condiciones Generales, así como cualquier otro tipo de documentación por la que se rige esta licitación-</w:t>
      </w:r>
    </w:p>
    <w:p>
      <w:pPr>
        <w:pStyle w:val="Normal1"/>
        <w:spacing w:lineRule="auto" w:line="276"/>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highlight w:val="yellow"/>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Asimismo, declar</w:t>
      </w:r>
      <w:r>
        <w:rPr>
          <w:rFonts w:eastAsia="Arial Narrow" w:cs="Arial Narrow" w:ascii="Arial Narrow" w:hAnsi="Arial Narrow"/>
          <w:sz w:val="21"/>
          <w:szCs w:val="21"/>
        </w:rPr>
        <w:t>a</w:t>
      </w:r>
      <w:r>
        <w:rPr>
          <w:rFonts w:eastAsia="Arial Narrow" w:cs="Arial Narrow" w:ascii="Arial Narrow" w:hAnsi="Arial Narrow"/>
          <w:color w:val="000000"/>
          <w:sz w:val="21"/>
          <w:szCs w:val="21"/>
        </w:rPr>
        <w:t xml:space="preserve"> responsablemente:</w:t>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r>
    </w:p>
    <w:p>
      <w:pPr>
        <w:pStyle w:val="Normal1"/>
        <w:numPr>
          <w:ilvl w:val="0"/>
          <w:numId w:val="4"/>
        </w:numPr>
        <w:spacing w:lineRule="auto" w:line="276"/>
        <w:ind w:hanging="360" w:left="720"/>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Que la sociedad está válidamente constituida y que conforme a su objeto social puede presentarse a la licitación.</w:t>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r>
    </w:p>
    <w:p>
      <w:pPr>
        <w:pStyle w:val="Normal1"/>
        <w:numPr>
          <w:ilvl w:val="0"/>
          <w:numId w:val="2"/>
        </w:numPr>
        <w:spacing w:lineRule="auto" w:line="276"/>
        <w:ind w:hanging="360" w:left="720"/>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Que como firmante de la declaración ostent</w:t>
      </w:r>
      <w:r>
        <w:rPr>
          <w:rFonts w:eastAsia="Arial Narrow" w:cs="Arial Narrow" w:ascii="Arial Narrow" w:hAnsi="Arial Narrow"/>
          <w:sz w:val="21"/>
          <w:szCs w:val="21"/>
        </w:rPr>
        <w:t>a</w:t>
      </w:r>
      <w:r>
        <w:rPr>
          <w:rFonts w:eastAsia="Arial Narrow" w:cs="Arial Narrow" w:ascii="Arial Narrow" w:hAnsi="Arial Narrow"/>
          <w:color w:val="000000"/>
          <w:sz w:val="21"/>
          <w:szCs w:val="21"/>
        </w:rPr>
        <w:t xml:space="preserve"> la debida representación de la sociedad que presenta la proposición.</w:t>
      </w:r>
    </w:p>
    <w:p>
      <w:pPr>
        <w:pStyle w:val="Normal1"/>
        <w:spacing w:lineRule="auto" w:line="276"/>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highlight w:val="yellow"/>
        </w:rPr>
      </w:r>
    </w:p>
    <w:p>
      <w:pPr>
        <w:pStyle w:val="Normal1"/>
        <w:numPr>
          <w:ilvl w:val="0"/>
          <w:numId w:val="23"/>
        </w:numPr>
        <w:spacing w:lineRule="auto" w:line="276"/>
        <w:ind w:hanging="360" w:left="720"/>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Que la sociedad a la que represent</w:t>
      </w:r>
      <w:r>
        <w:rPr>
          <w:rFonts w:eastAsia="Arial Narrow" w:cs="Arial Narrow" w:ascii="Arial Narrow" w:hAnsi="Arial Narrow"/>
          <w:sz w:val="21"/>
          <w:szCs w:val="21"/>
        </w:rPr>
        <w:t>a</w:t>
      </w:r>
      <w:r>
        <w:rPr>
          <w:rFonts w:eastAsia="Arial Narrow" w:cs="Arial Narrow" w:ascii="Arial Narrow" w:hAnsi="Arial Narrow"/>
          <w:color w:val="000000"/>
          <w:sz w:val="21"/>
          <w:szCs w:val="21"/>
        </w:rPr>
        <w:t xml:space="preserve"> (i) no se encuentra incursa en ninguna de las prohibiciones para contratar previstas en el art. 71 LCSP, así como tampoco sus administradores o representantes, (ii) no está incursa en causa de declaración de insolvencia o concurso; (iii) se encuentra al corriente del cumplimiento de todas las obligaciones tributarias y con la Seguridad Social impuestas por las disposiciones vigentes; (iv) está al corriente del pago del Impuesto de Actividades Económicas o está exenta del pago de dicho Impuesto según lo establecido en la normativa vigente, en su caso; (v) cumple con las previsiones de la normativa en materia de prevención de riesgos laborales; (vi) no ha intervenido, de ninguna manera, en la elaboración de las especificidades técnicas o de los documentos preparatorios o contractuales de la presente contratación, ni está vinculada a ninguna otra sociedad que haya intervenido en la referida elaboración de las especificidades técnicas o documentación preparatorios contractual del presente procedimiento</w:t>
      </w:r>
    </w:p>
    <w:p>
      <w:pPr>
        <w:pStyle w:val="Normal1"/>
        <w:spacing w:lineRule="auto" w:line="276"/>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highlight w:val="yellow"/>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Si la sociedad es extranjera, se incluye el compromiso de someterse a la jurisdicción de los juzgados y tribunales españoles, para todas las incidencias que directamente o indirectamente se deriven del Acuerdo Marco, con renuncia, en su caso, al fuero jurisdiccional extranjero que pueda corresponder al licitador</w:t>
      </w:r>
      <w:r>
        <w:rPr>
          <w:rFonts w:eastAsia="Arial Narrow" w:cs="Arial Narrow" w:ascii="Arial Narrow" w:hAnsi="Arial Narrow"/>
          <w:sz w:val="21"/>
          <w:szCs w:val="21"/>
        </w:rPr>
        <w:t>.</w:t>
      </w:r>
    </w:p>
    <w:p>
      <w:pPr>
        <w:pStyle w:val="Normal1"/>
        <w:spacing w:lineRule="auto" w:line="276"/>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highlight w:val="yellow"/>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Que designa como medio preferente para recibir las comunicaciones oportunas, la dirección de correo electrónico que se indica a continuación, autorizándose así a que todas las notificaciones y comunicaciones derivadas del presente procedimiento se efectúen mediante este correo: [•]</w:t>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Y a los efectos oportunos, firma la presente, en [●], a [●] de [●] de 202</w:t>
      </w:r>
      <w:r>
        <w:rPr>
          <w:rFonts w:eastAsia="Arial Narrow" w:cs="Arial Narrow" w:ascii="Arial Narrow" w:hAnsi="Arial Narrow"/>
          <w:sz w:val="21"/>
          <w:szCs w:val="21"/>
        </w:rPr>
        <w:t>[●]</w:t>
      </w:r>
      <w:r>
        <w:rPr>
          <w:rFonts w:eastAsia="Arial Narrow" w:cs="Arial Narrow" w:ascii="Arial Narrow" w:hAnsi="Arial Narrow"/>
          <w:color w:val="000000"/>
          <w:sz w:val="21"/>
          <w:szCs w:val="21"/>
        </w:rPr>
        <w:t>.</w:t>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r>
    </w:p>
    <w:p>
      <w:pPr>
        <w:pStyle w:val="Normal1"/>
        <w:spacing w:lineRule="auto" w:line="276"/>
        <w:jc w:val="both"/>
        <w:rPr>
          <w:rFonts w:ascii="Arial Narrow" w:hAnsi="Arial Narrow" w:eastAsia="Arial Narrow" w:cs="Arial Narrow"/>
          <w:color w:val="000000"/>
          <w:sz w:val="22"/>
          <w:szCs w:val="22"/>
        </w:rPr>
      </w:pPr>
      <w:r>
        <w:rPr>
          <w:rFonts w:eastAsia="Arial Narrow" w:cs="Arial Narrow" w:ascii="Arial Narrow" w:hAnsi="Arial Narrow"/>
          <w:color w:val="000000"/>
          <w:sz w:val="21"/>
          <w:szCs w:val="21"/>
        </w:rPr>
        <w:t>Firma: [●]</w:t>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r>
        <w:br w:type="page"/>
      </w:r>
    </w:p>
    <w:p>
      <w:pPr>
        <w:pStyle w:val="Normal1"/>
        <w:keepNext w:val="true"/>
        <w:keepLines w:val="false"/>
        <w:widowControl/>
        <w:pBdr/>
        <w:shd w:val="clear" w:fill="auto"/>
        <w:spacing w:lineRule="auto" w:line="276" w:before="0" w:after="60"/>
        <w:ind w:firstLine="3" w:left="0" w:right="0"/>
        <w:jc w:val="center"/>
        <w:rPr>
          <w:rFonts w:ascii="Arial Narrow" w:hAnsi="Arial Narrow" w:eastAsia="Arial Narrow" w:cs="Arial Narrow"/>
          <w:b/>
          <w:bCs/>
          <w:i w:val="false"/>
          <w:i w:val="false"/>
          <w:iCs w:val="false"/>
          <w:smallCaps/>
          <w:strike w:val="false"/>
          <w:dstrike w:val="false"/>
          <w:color w:val="000000"/>
          <w:position w:val="0"/>
          <w:sz w:val="22"/>
          <w:sz w:val="22"/>
          <w:szCs w:val="22"/>
          <w:u w:val="single"/>
          <w:shd w:fill="auto" w:val="clear"/>
          <w:vertAlign w:val="baseline"/>
        </w:rPr>
      </w:pPr>
      <w:bookmarkStart w:id="1" w:name="_heading=h.xvir7l"/>
      <w:bookmarkEnd w:id="1"/>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ANEXO NÚM. 6: DECLARACIÓN RESPONSABLE SOBRE CRITERIOS DE SOLVENCIA 2</w:t>
      </w:r>
    </w:p>
    <w:p>
      <w:pPr>
        <w:pStyle w:val="Normal1"/>
        <w:spacing w:lineRule="auto" w:line="276"/>
        <w:ind w:firstLine="3"/>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El/la abajo firmante, con DNI [●], actuando en nombre propio / en representación de la sociedad [●], con N.I.F. [●], actuando en su condición de [●], acepta incondicionalmente los </w:t>
      </w:r>
      <w:r>
        <w:rPr>
          <w:rFonts w:eastAsia="Arial Narrow" w:cs="Arial Narrow" w:ascii="Arial Narrow" w:hAnsi="Arial Narrow"/>
          <w:sz w:val="22"/>
          <w:szCs w:val="22"/>
        </w:rPr>
        <w:t>P</w:t>
      </w:r>
      <w:r>
        <w:rPr>
          <w:rFonts w:eastAsia="Arial Narrow" w:cs="Arial Narrow" w:ascii="Arial Narrow" w:hAnsi="Arial Narrow"/>
          <w:color w:val="000000"/>
          <w:sz w:val="22"/>
          <w:szCs w:val="22"/>
        </w:rPr>
        <w:t xml:space="preserve">liegos de </w:t>
      </w:r>
      <w:r>
        <w:rPr>
          <w:rFonts w:eastAsia="Arial Narrow" w:cs="Arial Narrow" w:ascii="Arial Narrow" w:hAnsi="Arial Narrow"/>
          <w:sz w:val="22"/>
          <w:szCs w:val="22"/>
        </w:rPr>
        <w:t>C</w:t>
      </w:r>
      <w:r>
        <w:rPr>
          <w:rFonts w:eastAsia="Arial Narrow" w:cs="Arial Narrow" w:ascii="Arial Narrow" w:hAnsi="Arial Narrow"/>
          <w:color w:val="000000"/>
          <w:sz w:val="22"/>
          <w:szCs w:val="22"/>
        </w:rPr>
        <w:t xml:space="preserve">ondiciones </w:t>
      </w:r>
      <w:r>
        <w:rPr>
          <w:rFonts w:eastAsia="Arial Narrow" w:cs="Arial Narrow" w:ascii="Arial Narrow" w:hAnsi="Arial Narrow"/>
          <w:sz w:val="22"/>
          <w:szCs w:val="22"/>
        </w:rPr>
        <w:t>G</w:t>
      </w:r>
      <w:r>
        <w:rPr>
          <w:rFonts w:eastAsia="Arial Narrow" w:cs="Arial Narrow" w:ascii="Arial Narrow" w:hAnsi="Arial Narrow"/>
          <w:color w:val="000000"/>
          <w:sz w:val="22"/>
          <w:szCs w:val="22"/>
        </w:rPr>
        <w:t xml:space="preserve">enerales y de </w:t>
      </w:r>
      <w:r>
        <w:rPr>
          <w:rFonts w:eastAsia="Arial Narrow" w:cs="Arial Narrow" w:ascii="Arial Narrow" w:hAnsi="Arial Narrow"/>
          <w:sz w:val="22"/>
          <w:szCs w:val="22"/>
        </w:rPr>
        <w:t>P</w:t>
      </w:r>
      <w:r>
        <w:rPr>
          <w:rFonts w:eastAsia="Arial Narrow" w:cs="Arial Narrow" w:ascii="Arial Narrow" w:hAnsi="Arial Narrow"/>
          <w:color w:val="000000"/>
          <w:sz w:val="22"/>
          <w:szCs w:val="22"/>
        </w:rPr>
        <w:t xml:space="preserve">rescripciones </w:t>
      </w:r>
      <w:r>
        <w:rPr>
          <w:rFonts w:eastAsia="Arial Narrow" w:cs="Arial Narrow" w:ascii="Arial Narrow" w:hAnsi="Arial Narrow"/>
          <w:sz w:val="22"/>
          <w:szCs w:val="22"/>
        </w:rPr>
        <w:t>T</w:t>
      </w:r>
      <w:r>
        <w:rPr>
          <w:rFonts w:eastAsia="Arial Narrow" w:cs="Arial Narrow" w:ascii="Arial Narrow" w:hAnsi="Arial Narrow"/>
          <w:color w:val="000000"/>
          <w:sz w:val="22"/>
          <w:szCs w:val="22"/>
        </w:rPr>
        <w:t xml:space="preserve">écnicas que rigen el procedimiento de adjudicación </w:t>
      </w:r>
      <w:r>
        <w:rPr>
          <w:rFonts w:eastAsia="Arial Narrow" w:cs="Arial Narrow" w:ascii="Arial Narrow" w:hAnsi="Arial Narrow"/>
          <w:sz w:val="22"/>
          <w:szCs w:val="22"/>
        </w:rPr>
        <w:t xml:space="preserve">de los servicios de lectura de contadores para empresas del Grupo VEOLIA </w:t>
      </w:r>
      <w:r>
        <w:rPr>
          <w:rFonts w:eastAsia="Arial Narrow" w:cs="Arial Narrow" w:ascii="Arial Narrow" w:hAnsi="Arial Narrow"/>
          <w:color w:val="000000"/>
          <w:sz w:val="22"/>
          <w:szCs w:val="22"/>
        </w:rPr>
        <w:t>(</w:t>
      </w:r>
      <w:r>
        <w:rPr>
          <w:rFonts w:eastAsia="Arial Narrow" w:cs="Arial Narrow" w:ascii="Arial Narrow" w:hAnsi="Arial Narrow"/>
          <w:sz w:val="22"/>
          <w:szCs w:val="22"/>
        </w:rPr>
        <w:t>R</w:t>
      </w:r>
      <w:r>
        <w:rPr>
          <w:rFonts w:eastAsia="Arial Narrow" w:cs="Arial Narrow" w:ascii="Arial Narrow" w:hAnsi="Arial Narrow"/>
          <w:color w:val="000000"/>
          <w:sz w:val="22"/>
          <w:szCs w:val="22"/>
        </w:rPr>
        <w:t xml:space="preserve">eferencia: </w:t>
      </w:r>
      <w:r>
        <w:rPr>
          <w:rFonts w:eastAsia="Arial Narrow" w:cs="Arial Narrow" w:ascii="Arial Narrow" w:hAnsi="Arial Narrow"/>
          <w:sz w:val="22"/>
          <w:szCs w:val="22"/>
        </w:rPr>
        <w:t>2025_C19_0007</w:t>
      </w:r>
      <w:r>
        <w:rPr>
          <w:rFonts w:eastAsia="Arial Narrow" w:cs="Arial Narrow" w:ascii="Arial Narrow" w:hAnsi="Arial Narrow"/>
          <w:color w:val="000000"/>
          <w:sz w:val="22"/>
          <w:szCs w:val="22"/>
        </w:rPr>
        <w:t>), y se compromete a ejecutar el contrato con estricta sujeción a los requisitos y condiciones contenidos en los mismos, declara responsablemente:</w:t>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76"/>
        <w:jc w:val="both"/>
        <w:rPr>
          <w:rFonts w:ascii="Arial Narrow" w:hAnsi="Arial Narrow" w:eastAsia="Arial Narrow" w:cs="Arial Narrow"/>
          <w:sz w:val="22"/>
          <w:szCs w:val="22"/>
        </w:rPr>
      </w:pPr>
      <w:r>
        <w:rPr>
          <w:rFonts w:eastAsia="Arial Narrow" w:cs="Arial Narrow" w:ascii="Arial Narrow" w:hAnsi="Arial Narrow"/>
          <w:sz w:val="22"/>
          <w:szCs w:val="22"/>
        </w:rPr>
        <w:t xml:space="preserve">Declara que cumple con los requisitos de solvencia económico-financiera y técnica o profesional exigidos:  </w:t>
      </w:r>
    </w:p>
    <w:p>
      <w:pPr>
        <w:pStyle w:val="Normal1"/>
        <w:spacing w:lineRule="auto" w:line="276"/>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false"/>
        <w:keepLines w:val="false"/>
        <w:pageBreakBefore w:val="false"/>
        <w:widowControl w:val="false"/>
        <w:numPr>
          <w:ilvl w:val="0"/>
          <w:numId w:val="12"/>
        </w:numPr>
        <w:pBdr/>
        <w:shd w:val="clear" w:fill="auto"/>
        <w:spacing w:lineRule="auto" w:line="276" w:before="13" w:after="0"/>
        <w:ind w:hanging="360" w:left="1068"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vertAlign w:val="baseline"/>
        </w:rPr>
        <w:t>El volumen anual de negocios referido al año de mayor volumen dentro de los TRES últimos ejercicios disponibles es igual o superior al valor estimado de los lotes ofertados:</w:t>
      </w:r>
    </w:p>
    <w:p>
      <w:pPr>
        <w:pStyle w:val="Normal1"/>
        <w:keepNext w:val="false"/>
        <w:keepLines w:val="false"/>
        <w:pageBreakBefore w:val="false"/>
        <w:widowControl w:val="false"/>
        <w:pBdr/>
        <w:shd w:val="clear" w:fill="auto"/>
        <w:spacing w:lineRule="auto" w:line="276" w:before="0" w:after="0"/>
        <w:ind w:hanging="0" w:left="1182"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u w:val="none"/>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vertAlign w:val="baseline"/>
        </w:rPr>
      </w:r>
    </w:p>
    <w:p>
      <w:pPr>
        <w:pStyle w:val="Normal1"/>
        <w:keepNext w:val="false"/>
        <w:keepLines w:val="false"/>
        <w:pageBreakBefore w:val="false"/>
        <w:widowControl w:val="false"/>
        <w:pBdr/>
        <w:shd w:val="clear" w:fill="auto"/>
        <w:spacing w:lineRule="auto" w:line="276" w:before="0" w:after="0"/>
        <w:ind w:hanging="0" w:left="1182"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u w:val="none"/>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vertAlign w:val="baseline"/>
        </w:rPr>
        <w:t>LOTE 1</w:t>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Ejercicio [          ] – volumen de negocios [       ]</w:t>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 xml:space="preserve">LOTE 2 </w:t>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Ejercicio [          ] – volumen de negocios [       ]</w:t>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LOTE 3</w:t>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Ejercicio [          ] – volumen de negocios [       ]</w:t>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LOTE 4</w:t>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Ejercicio [          ] – volumen de negocios [       ]</w:t>
      </w:r>
    </w:p>
    <w:p>
      <w:pPr>
        <w:pStyle w:val="Normal1"/>
        <w:spacing w:lineRule="auto" w:line="240" w:before="9" w:after="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false"/>
        <w:keepLines w:val="false"/>
        <w:pageBreakBefore w:val="false"/>
        <w:widowControl w:val="false"/>
        <w:numPr>
          <w:ilvl w:val="0"/>
          <w:numId w:val="12"/>
        </w:numPr>
        <w:pBdr/>
        <w:shd w:val="clear" w:fill="auto"/>
        <w:spacing w:lineRule="auto" w:line="276" w:before="13" w:after="0"/>
        <w:ind w:hanging="360" w:left="1068"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vertAlign w:val="baseline"/>
        </w:rPr>
        <w:t>Referencias similares en clientes, en el ámbito de los servicios solicitados, en el Estado español: haber realizado como mínimo durante los últimos tres años un contrato con empresas o administraciones en el ámbito de los servicios solicitados.</w:t>
      </w:r>
    </w:p>
    <w:p>
      <w:pPr>
        <w:pStyle w:val="Normal1"/>
        <w:spacing w:lineRule="auto" w:line="276" w:before="13" w:after="0"/>
        <w:ind w:hanging="0" w:left="1068" w:right="67"/>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numPr>
          <w:ilvl w:val="4"/>
          <w:numId w:val="11"/>
        </w:numPr>
        <w:spacing w:lineRule="auto" w:line="276"/>
        <w:ind w:hanging="360" w:left="1800"/>
        <w:jc w:val="both"/>
        <w:rPr>
          <w:rFonts w:ascii="Arial Narrow" w:hAnsi="Arial Narrow" w:eastAsia="Arial Narrow" w:cs="Arial Narrow"/>
          <w:sz w:val="22"/>
          <w:szCs w:val="22"/>
        </w:rPr>
      </w:pPr>
      <w:r>
        <w:rPr>
          <w:rFonts w:eastAsia="Arial Narrow" w:cs="Arial Narrow" w:ascii="Arial Narrow" w:hAnsi="Arial Narrow"/>
          <w:sz w:val="22"/>
          <w:szCs w:val="22"/>
        </w:rPr>
        <w:t>Cliente. [ ]</w:t>
      </w:r>
    </w:p>
    <w:p>
      <w:pPr>
        <w:pStyle w:val="Normal1"/>
        <w:widowControl/>
        <w:numPr>
          <w:ilvl w:val="4"/>
          <w:numId w:val="11"/>
        </w:numPr>
        <w:spacing w:lineRule="auto" w:line="276"/>
        <w:ind w:hanging="360" w:left="1800"/>
        <w:jc w:val="both"/>
        <w:rPr>
          <w:rFonts w:ascii="Arial Narrow" w:hAnsi="Arial Narrow" w:eastAsia="Arial Narrow" w:cs="Arial Narrow"/>
          <w:sz w:val="22"/>
          <w:szCs w:val="22"/>
        </w:rPr>
      </w:pPr>
      <w:r>
        <w:rPr>
          <w:rFonts w:eastAsia="Arial Narrow" w:cs="Arial Narrow" w:ascii="Arial Narrow" w:hAnsi="Arial Narrow"/>
          <w:sz w:val="22"/>
          <w:szCs w:val="22"/>
        </w:rPr>
        <w:t>Fecha de inicio y fin del contrato. [ ]</w:t>
      </w:r>
    </w:p>
    <w:p>
      <w:pPr>
        <w:pStyle w:val="Normal1"/>
        <w:widowControl/>
        <w:numPr>
          <w:ilvl w:val="4"/>
          <w:numId w:val="11"/>
        </w:numPr>
        <w:spacing w:lineRule="auto" w:line="276"/>
        <w:ind w:hanging="360" w:left="1800"/>
        <w:jc w:val="both"/>
        <w:rPr>
          <w:rFonts w:ascii="Arial Narrow" w:hAnsi="Arial Narrow" w:eastAsia="Arial Narrow" w:cs="Arial Narrow"/>
          <w:sz w:val="22"/>
          <w:szCs w:val="22"/>
        </w:rPr>
      </w:pPr>
      <w:r>
        <w:rPr>
          <w:rFonts w:eastAsia="Arial Narrow" w:cs="Arial Narrow" w:ascii="Arial Narrow" w:hAnsi="Arial Narrow"/>
          <w:sz w:val="22"/>
          <w:szCs w:val="22"/>
        </w:rPr>
        <w:t>Importe anual de la contratación. [ ]</w:t>
      </w:r>
    </w:p>
    <w:p>
      <w:pPr>
        <w:pStyle w:val="Normal1"/>
        <w:widowControl/>
        <w:numPr>
          <w:ilvl w:val="4"/>
          <w:numId w:val="11"/>
        </w:numPr>
        <w:spacing w:lineRule="auto" w:line="276"/>
        <w:ind w:hanging="360" w:left="1800"/>
        <w:jc w:val="both"/>
        <w:rPr>
          <w:rFonts w:ascii="Arial Narrow" w:hAnsi="Arial Narrow" w:eastAsia="Arial Narrow" w:cs="Arial Narrow"/>
          <w:sz w:val="22"/>
          <w:szCs w:val="22"/>
        </w:rPr>
      </w:pPr>
      <w:r>
        <w:rPr>
          <w:rFonts w:eastAsia="Arial Narrow" w:cs="Arial Narrow" w:ascii="Arial Narrow" w:hAnsi="Arial Narrow"/>
          <w:sz w:val="22"/>
          <w:szCs w:val="22"/>
        </w:rPr>
        <w:t>Breve descripción de la contratación. [ ]</w:t>
      </w:r>
    </w:p>
    <w:p>
      <w:pPr>
        <w:pStyle w:val="Normal1"/>
        <w:widowControl/>
        <w:spacing w:lineRule="auto" w:line="276"/>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false"/>
        <w:keepLines w:val="false"/>
        <w:pageBreakBefore w:val="false"/>
        <w:widowControl w:val="false"/>
        <w:numPr>
          <w:ilvl w:val="0"/>
          <w:numId w:val="12"/>
        </w:numPr>
        <w:pBdr/>
        <w:shd w:val="clear" w:fill="auto"/>
        <w:spacing w:lineRule="auto" w:line="276" w:before="13" w:after="0"/>
        <w:ind w:hanging="360" w:left="1068"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vertAlign w:val="baseline"/>
        </w:rPr>
        <w:t xml:space="preserve">Dispone o, se compromete a suscribir en caso de resultar adjudicatario, de un seguro de Responsabilidad Civil superior o igual a 1.500.000 de EUROS por siniestro y año que </w:t>
      </w:r>
      <w:r>
        <w:rPr>
          <w:rFonts w:eastAsia="Arial Narrow" w:cs="Arial Narrow" w:ascii="Arial Narrow" w:hAnsi="Arial Narrow"/>
          <w:sz w:val="22"/>
          <w:szCs w:val="22"/>
        </w:rPr>
        <w:t>cumpla con los requisitos establecidos en el Pliego de Condiciones Generales.</w:t>
      </w:r>
    </w:p>
    <w:p>
      <w:pPr>
        <w:pStyle w:val="Normal1"/>
        <w:keepNext w:val="false"/>
        <w:keepLines w:val="false"/>
        <w:pageBreakBefore w:val="false"/>
        <w:widowControl w:val="false"/>
        <w:pBdr/>
        <w:shd w:val="clear" w:fill="auto"/>
        <w:spacing w:lineRule="auto" w:line="276" w:before="0" w:after="0"/>
        <w:ind w:hanging="0" w:left="1068" w:right="67"/>
        <w:jc w:val="left"/>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u w:val="none"/>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vertAlign w:val="baseline"/>
        </w:rPr>
      </w:r>
    </w:p>
    <w:p>
      <w:pPr>
        <w:pStyle w:val="Normal1"/>
        <w:keepNext w:val="false"/>
        <w:keepLines w:val="false"/>
        <w:pageBreakBefore w:val="false"/>
        <w:widowControl w:val="false"/>
        <w:numPr>
          <w:ilvl w:val="0"/>
          <w:numId w:val="12"/>
        </w:numPr>
        <w:pBdr/>
        <w:shd w:val="clear" w:fill="auto"/>
        <w:spacing w:lineRule="auto" w:line="276" w:before="0" w:after="0"/>
        <w:ind w:hanging="360" w:left="1068"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vertAlign w:val="baseline"/>
        </w:rPr>
        <w:t xml:space="preserve">Dispone </w:t>
      </w:r>
      <w:r>
        <w:rPr>
          <w:rFonts w:eastAsia="Arial Narrow" w:cs="Arial Narrow" w:ascii="Arial Narrow" w:hAnsi="Arial Narrow"/>
          <w:sz w:val="22"/>
          <w:szCs w:val="22"/>
        </w:rPr>
        <w:t>de certificación de un sistema de gestión de la calidad (ISO 9001 o equivalente) o trabajos en el entorno de la norma.</w:t>
      </w:r>
    </w:p>
    <w:p>
      <w:pPr>
        <w:pStyle w:val="Normal1"/>
        <w:keepNext w:val="false"/>
        <w:keepLines w:val="false"/>
        <w:pageBreakBefore w:val="false"/>
        <w:widowControl w:val="false"/>
        <w:pBdr/>
        <w:shd w:val="clear" w:fill="auto"/>
        <w:spacing w:lineRule="auto" w:line="276" w:before="0" w:after="0"/>
        <w:ind w:hanging="0" w:left="1068" w:right="67"/>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false"/>
        <w:keepLines w:val="false"/>
        <w:pageBreakBefore w:val="false"/>
        <w:widowControl w:val="false"/>
        <w:numPr>
          <w:ilvl w:val="0"/>
          <w:numId w:val="12"/>
        </w:numPr>
        <w:pBdr/>
        <w:shd w:val="clear" w:fill="auto"/>
        <w:spacing w:lineRule="auto" w:line="276" w:before="0" w:after="0"/>
        <w:ind w:hanging="360" w:left="1068" w:right="67"/>
        <w:jc w:val="both"/>
        <w:rPr>
          <w:rFonts w:ascii="Arial Narrow" w:hAnsi="Arial Narrow" w:eastAsia="Arial Narrow" w:cs="Arial Narrow"/>
          <w:sz w:val="22"/>
          <w:szCs w:val="22"/>
          <w:u w:val="none"/>
        </w:rPr>
      </w:pPr>
      <w:r>
        <w:rPr>
          <w:rFonts w:eastAsia="Arial Narrow" w:cs="Arial Narrow" w:ascii="Arial Narrow" w:hAnsi="Arial Narrow"/>
          <w:sz w:val="22"/>
          <w:szCs w:val="22"/>
        </w:rPr>
        <w:t>Que la ratio entre activos y pasivos de la sociedad, calculada con las cuentas anuales aprobadas y registradas al cierre del último ejercicio económico para el que esté vencida la obligación de aprobación de cuentas anuales, es menor o igual al 80%.</w:t>
      </w:r>
    </w:p>
    <w:p>
      <w:pPr>
        <w:pStyle w:val="Normal1"/>
        <w:keepNext w:val="false"/>
        <w:keepLines w:val="false"/>
        <w:pageBreakBefore w:val="false"/>
        <w:widowControl w:val="false"/>
        <w:pBdr/>
        <w:shd w:val="clear" w:fill="auto"/>
        <w:spacing w:lineRule="auto" w:line="276" w:before="0" w:after="0"/>
        <w:ind w:hanging="0" w:left="1068" w:right="67"/>
        <w:jc w:val="both"/>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keepNext w:val="false"/>
        <w:keepLines w:val="false"/>
        <w:pageBreakBefore w:val="false"/>
        <w:widowControl w:val="false"/>
        <w:pBdr/>
        <w:shd w:val="clear" w:fill="auto"/>
        <w:spacing w:lineRule="auto" w:line="276" w:before="0" w:after="0"/>
        <w:ind w:hanging="0" w:left="1068" w:right="67"/>
        <w:jc w:val="left"/>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widowControl/>
        <w:spacing w:lineRule="auto" w:line="259" w:before="0" w:after="160"/>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Y a los efectos oportunos, firma la presente, en [●], a [●] de [●] de 202</w:t>
      </w:r>
      <w:r>
        <w:rPr>
          <w:rFonts w:eastAsia="Arial Narrow" w:cs="Arial Narrow" w:ascii="Arial Narrow" w:hAnsi="Arial Narrow"/>
          <w:sz w:val="22"/>
          <w:szCs w:val="22"/>
        </w:rPr>
        <w:t>[●]</w:t>
      </w:r>
      <w:r>
        <w:rPr>
          <w:rFonts w:eastAsia="Arial Narrow" w:cs="Arial Narrow" w:ascii="Arial Narrow" w:hAnsi="Arial Narrow"/>
          <w:color w:val="000000"/>
          <w:sz w:val="22"/>
          <w:szCs w:val="22"/>
        </w:rPr>
        <w:t>.</w:t>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Firma: [●]</w:t>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76"/>
        <w:ind w:hanging="0" w:left="1440"/>
        <w:jc w:val="both"/>
        <w:rPr>
          <w:rFonts w:ascii="Arial Narrow" w:hAnsi="Arial Narrow" w:eastAsia="Arial Narrow" w:cs="Arial Narrow"/>
          <w:color w:val="1F4E79"/>
          <w:sz w:val="22"/>
          <w:szCs w:val="22"/>
        </w:rPr>
      </w:pPr>
      <w:r>
        <w:rPr>
          <w:rFonts w:eastAsia="Arial Narrow" w:cs="Arial Narrow" w:ascii="Arial Narrow" w:hAnsi="Arial Narrow"/>
          <w:color w:val="1F4E79"/>
          <w:sz w:val="22"/>
          <w:szCs w:val="22"/>
        </w:rPr>
      </w:r>
    </w:p>
    <w:p>
      <w:pPr>
        <w:pStyle w:val="Normal1"/>
        <w:widowControl/>
        <w:spacing w:lineRule="auto" w:line="259" w:before="0" w:after="160"/>
        <w:rPr>
          <w:rFonts w:ascii="Arial Narrow" w:hAnsi="Arial Narrow" w:eastAsia="Arial Narrow" w:cs="Arial Narrow"/>
          <w:color w:val="1F4E79"/>
          <w:sz w:val="22"/>
          <w:szCs w:val="22"/>
        </w:rPr>
      </w:pPr>
      <w:r>
        <w:rPr>
          <w:rFonts w:eastAsia="Arial Narrow" w:cs="Arial Narrow" w:ascii="Arial Narrow" w:hAnsi="Arial Narrow"/>
          <w:color w:val="1F4E79"/>
          <w:sz w:val="22"/>
          <w:szCs w:val="22"/>
        </w:rPr>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r>
        <w:br w:type="page"/>
      </w:r>
    </w:p>
    <w:p>
      <w:pPr>
        <w:pStyle w:val="Normal1"/>
        <w:keepNext w:val="true"/>
        <w:keepLines w:val="false"/>
        <w:widowControl/>
        <w:pBdr/>
        <w:shd w:val="clear" w:fill="auto"/>
        <w:spacing w:lineRule="auto" w:line="276" w:before="0" w:after="60"/>
        <w:ind w:hanging="0" w:left="0" w:right="0"/>
        <w:jc w:val="center"/>
        <w:rPr>
          <w:rFonts w:ascii="Arial Narrow" w:hAnsi="Arial Narrow" w:eastAsia="Arial Narrow" w:cs="Arial Narrow"/>
          <w:b/>
          <w:bCs/>
          <w:i w:val="false"/>
          <w:i w:val="false"/>
          <w:iCs w:val="false"/>
          <w:smallCaps/>
          <w:strike w:val="false"/>
          <w:dstrike w:val="false"/>
          <w:color w:val="000000"/>
          <w:position w:val="0"/>
          <w:sz w:val="22"/>
          <w:sz w:val="22"/>
          <w:szCs w:val="22"/>
          <w:u w:val="single"/>
          <w:shd w:fill="auto" w:val="clear"/>
          <w:vertAlign w:val="baseline"/>
        </w:rPr>
      </w:pPr>
      <w:bookmarkStart w:id="2" w:name="_heading=h.3hv69ve"/>
      <w:bookmarkEnd w:id="2"/>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ANEXO NÚM. 7:</w:t>
        <w:br/>
        <w:t xml:space="preserve">DECLARACIÓN RESPONSABLE REFERENTE A LA SUBCONTRATACIÓN  </w:t>
      </w:r>
    </w:p>
    <w:p>
      <w:pPr>
        <w:pStyle w:val="Normal1"/>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spacing w:lineRule="auto" w:line="276"/>
        <w:jc w:val="both"/>
        <w:rPr>
          <w:rFonts w:ascii="Arial Narrow" w:hAnsi="Arial Narrow" w:eastAsia="Arial Narrow" w:cs="Arial Narrow"/>
          <w:sz w:val="22"/>
          <w:szCs w:val="22"/>
        </w:rPr>
      </w:pPr>
      <w:r>
        <w:rPr>
          <w:rFonts w:eastAsia="Arial Narrow" w:cs="Arial Narrow" w:ascii="Arial Narrow" w:hAnsi="Arial Narrow"/>
          <w:sz w:val="22"/>
          <w:szCs w:val="22"/>
        </w:rPr>
        <w:t xml:space="preserve">El/la abajo firmante, con DNI [●], actuando en nombre propio / en representación de la sociedad [●], con N.I.F. [●], actuando en su condición de [●], en relación al  procedimiento de adjudicación de los servicios de lectura de contadores para empresas del Grupo VEOLIA (Referencia: 2025_C19_0007), declara responsablemente que, en caso de resultar adjudicataria, tiene previsto subcontratar las prestaciones que se detallan seguidamente, con los operadores económicos que se indican:  </w:t>
      </w:r>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6"/>
        <w:tblW w:w="4957" w:type="dxa"/>
        <w:jc w:val="left"/>
        <w:tblInd w:w="0" w:type="dxa"/>
        <w:tblLayout w:type="fixed"/>
        <w:tblCellMar>
          <w:top w:w="0" w:type="dxa"/>
          <w:left w:w="108" w:type="dxa"/>
          <w:bottom w:w="0" w:type="dxa"/>
          <w:right w:w="108" w:type="dxa"/>
        </w:tblCellMar>
        <w:tblLook w:val="0400"/>
      </w:tblPr>
      <w:tblGrid>
        <w:gridCol w:w="2829"/>
        <w:gridCol w:w="2127"/>
      </w:tblGrid>
      <w:tr>
        <w:trPr/>
        <w:tc>
          <w:tcPr>
            <w:tcW w:w="2829" w:type="dxa"/>
            <w:tcBorders>
              <w:top w:val="single" w:sz="8" w:space="0" w:color="4F81BD"/>
              <w:left w:val="single" w:sz="8" w:space="0" w:color="4F81BD"/>
              <w:bottom w:val="single" w:sz="6" w:space="0" w:color="000080"/>
              <w:right w:val="single" w:sz="6" w:space="0" w:color="000080"/>
            </w:tcBorders>
            <w:shd w:fill="D9D9D9" w:val="clear"/>
          </w:tcPr>
          <w:p>
            <w:pPr>
              <w:pStyle w:val="Normal1"/>
              <w:spacing w:lineRule="auto" w:line="276"/>
              <w:rPr>
                <w:rFonts w:ascii="Arial Narrow" w:hAnsi="Arial Narrow" w:eastAsia="Arial Narrow" w:cs="Arial Narrow"/>
                <w:sz w:val="18"/>
                <w:szCs w:val="18"/>
              </w:rPr>
            </w:pPr>
            <w:r>
              <w:rPr>
                <w:rFonts w:eastAsia="Arial Narrow" w:cs="Arial Narrow" w:ascii="Arial Narrow" w:hAnsi="Arial Narrow"/>
                <w:sz w:val="18"/>
                <w:szCs w:val="18"/>
              </w:rPr>
              <w:t>Operador económico a subcontratar</w:t>
            </w:r>
          </w:p>
        </w:tc>
        <w:tc>
          <w:tcPr>
            <w:tcW w:w="2127" w:type="dxa"/>
            <w:tcBorders>
              <w:top w:val="single" w:sz="8" w:space="0" w:color="4F81BD"/>
              <w:left w:val="single" w:sz="6" w:space="0" w:color="000080"/>
              <w:bottom w:val="single" w:sz="6" w:space="0" w:color="000080"/>
              <w:right w:val="single" w:sz="8" w:space="0" w:color="4F81BD"/>
            </w:tcBorders>
            <w:shd w:fill="D9D9D9" w:val="clear"/>
          </w:tcPr>
          <w:p>
            <w:pPr>
              <w:pStyle w:val="Normal1"/>
              <w:spacing w:lineRule="auto" w:line="276"/>
              <w:rPr>
                <w:rFonts w:ascii="Arial Narrow" w:hAnsi="Arial Narrow" w:eastAsia="Arial Narrow" w:cs="Arial Narrow"/>
                <w:sz w:val="18"/>
                <w:szCs w:val="18"/>
              </w:rPr>
            </w:pPr>
            <w:r>
              <w:rPr>
                <w:rFonts w:eastAsia="Arial Narrow" w:cs="Arial Narrow" w:ascii="Arial Narrow" w:hAnsi="Arial Narrow"/>
                <w:sz w:val="18"/>
                <w:szCs w:val="18"/>
              </w:rPr>
              <w:t>Prestación a subcontratar</w:t>
            </w:r>
          </w:p>
        </w:tc>
      </w:tr>
      <w:tr>
        <w:trPr/>
        <w:tc>
          <w:tcPr>
            <w:tcW w:w="2829" w:type="dxa"/>
            <w:tcBorders>
              <w:top w:val="single" w:sz="6" w:space="0" w:color="000080"/>
              <w:left w:val="single" w:sz="8" w:space="0" w:color="4F81BD"/>
              <w:bottom w:val="single" w:sz="6" w:space="0" w:color="000080"/>
              <w:right w:val="single" w:sz="6" w:space="0" w:color="000080"/>
            </w:tcBorders>
          </w:tcPr>
          <w:p>
            <w:pPr>
              <w:pStyle w:val="Normal1"/>
              <w:spacing w:lineRule="auto" w:line="276"/>
              <w:rPr>
                <w:rFonts w:ascii="Arial Narrow" w:hAnsi="Arial Narrow" w:eastAsia="Arial Narrow" w:cs="Arial Narrow"/>
                <w:sz w:val="18"/>
                <w:szCs w:val="18"/>
              </w:rPr>
            </w:pPr>
            <w:r>
              <w:rPr>
                <w:rFonts w:eastAsia="Arial Narrow" w:cs="Arial Narrow" w:ascii="Arial Narrow" w:hAnsi="Arial Narrow"/>
                <w:sz w:val="18"/>
                <w:szCs w:val="18"/>
              </w:rPr>
            </w:r>
          </w:p>
        </w:tc>
        <w:tc>
          <w:tcPr>
            <w:tcW w:w="2127" w:type="dxa"/>
            <w:tcBorders>
              <w:top w:val="single" w:sz="6" w:space="0" w:color="000080"/>
              <w:left w:val="single" w:sz="6" w:space="0" w:color="000080"/>
              <w:bottom w:val="single" w:sz="6" w:space="0" w:color="000080"/>
              <w:right w:val="single" w:sz="8" w:space="0" w:color="4F81BD"/>
            </w:tcBorders>
          </w:tcPr>
          <w:p>
            <w:pPr>
              <w:pStyle w:val="Normal1"/>
              <w:spacing w:lineRule="auto" w:line="276"/>
              <w:rPr>
                <w:rFonts w:ascii="Arial Narrow" w:hAnsi="Arial Narrow" w:eastAsia="Arial Narrow" w:cs="Arial Narrow"/>
                <w:sz w:val="18"/>
                <w:szCs w:val="18"/>
              </w:rPr>
            </w:pPr>
            <w:r>
              <w:rPr>
                <w:rFonts w:eastAsia="Arial Narrow" w:cs="Arial Narrow" w:ascii="Arial Narrow" w:hAnsi="Arial Narrow"/>
                <w:sz w:val="18"/>
                <w:szCs w:val="18"/>
              </w:rPr>
            </w:r>
          </w:p>
        </w:tc>
      </w:tr>
      <w:tr>
        <w:trPr/>
        <w:tc>
          <w:tcPr>
            <w:tcW w:w="2829" w:type="dxa"/>
            <w:tcBorders>
              <w:top w:val="single" w:sz="6" w:space="0" w:color="000080"/>
              <w:left w:val="single" w:sz="8" w:space="0" w:color="4F81BD"/>
              <w:bottom w:val="single" w:sz="6" w:space="0" w:color="000080"/>
              <w:right w:val="single" w:sz="6" w:space="0" w:color="000080"/>
            </w:tcBorders>
          </w:tcPr>
          <w:p>
            <w:pPr>
              <w:pStyle w:val="Normal1"/>
              <w:spacing w:lineRule="auto" w:line="276"/>
              <w:rPr>
                <w:rFonts w:ascii="Arial Narrow" w:hAnsi="Arial Narrow" w:eastAsia="Arial Narrow" w:cs="Arial Narrow"/>
                <w:sz w:val="18"/>
                <w:szCs w:val="18"/>
              </w:rPr>
            </w:pPr>
            <w:r>
              <w:rPr>
                <w:rFonts w:eastAsia="Arial Narrow" w:cs="Arial Narrow" w:ascii="Arial Narrow" w:hAnsi="Arial Narrow"/>
                <w:sz w:val="18"/>
                <w:szCs w:val="18"/>
              </w:rPr>
            </w:r>
          </w:p>
        </w:tc>
        <w:tc>
          <w:tcPr>
            <w:tcW w:w="2127" w:type="dxa"/>
            <w:tcBorders>
              <w:top w:val="single" w:sz="6" w:space="0" w:color="000080"/>
              <w:left w:val="single" w:sz="6" w:space="0" w:color="000080"/>
              <w:bottom w:val="single" w:sz="6" w:space="0" w:color="000080"/>
              <w:right w:val="single" w:sz="8" w:space="0" w:color="4F81BD"/>
            </w:tcBorders>
          </w:tcPr>
          <w:p>
            <w:pPr>
              <w:pStyle w:val="Normal1"/>
              <w:spacing w:lineRule="auto" w:line="276"/>
              <w:rPr>
                <w:rFonts w:ascii="Arial Narrow" w:hAnsi="Arial Narrow" w:eastAsia="Arial Narrow" w:cs="Arial Narrow"/>
                <w:sz w:val="18"/>
                <w:szCs w:val="18"/>
              </w:rPr>
            </w:pPr>
            <w:r>
              <w:rPr>
                <w:rFonts w:eastAsia="Arial Narrow" w:cs="Arial Narrow" w:ascii="Arial Narrow" w:hAnsi="Arial Narrow"/>
                <w:sz w:val="18"/>
                <w:szCs w:val="18"/>
              </w:rPr>
            </w:r>
          </w:p>
        </w:tc>
      </w:tr>
      <w:tr>
        <w:trPr/>
        <w:tc>
          <w:tcPr>
            <w:tcW w:w="2829" w:type="dxa"/>
            <w:tcBorders>
              <w:top w:val="single" w:sz="6" w:space="0" w:color="000080"/>
              <w:left w:val="single" w:sz="8" w:space="0" w:color="4F81BD"/>
              <w:bottom w:val="single" w:sz="8" w:space="0" w:color="4F81BD"/>
              <w:right w:val="single" w:sz="6" w:space="0" w:color="000080"/>
            </w:tcBorders>
          </w:tcPr>
          <w:p>
            <w:pPr>
              <w:pStyle w:val="Normal1"/>
              <w:spacing w:lineRule="auto" w:line="276"/>
              <w:rPr>
                <w:rFonts w:ascii="Arial Narrow" w:hAnsi="Arial Narrow" w:eastAsia="Arial Narrow" w:cs="Arial Narrow"/>
                <w:sz w:val="18"/>
                <w:szCs w:val="18"/>
              </w:rPr>
            </w:pPr>
            <w:r>
              <w:rPr>
                <w:rFonts w:eastAsia="Arial Narrow" w:cs="Arial Narrow" w:ascii="Arial Narrow" w:hAnsi="Arial Narrow"/>
                <w:sz w:val="18"/>
                <w:szCs w:val="18"/>
              </w:rPr>
            </w:r>
          </w:p>
        </w:tc>
        <w:tc>
          <w:tcPr>
            <w:tcW w:w="2127" w:type="dxa"/>
            <w:tcBorders>
              <w:top w:val="single" w:sz="6" w:space="0" w:color="000080"/>
              <w:left w:val="single" w:sz="6" w:space="0" w:color="000080"/>
              <w:bottom w:val="single" w:sz="8" w:space="0" w:color="4F81BD"/>
              <w:right w:val="single" w:sz="8" w:space="0" w:color="4F81BD"/>
            </w:tcBorders>
          </w:tcPr>
          <w:p>
            <w:pPr>
              <w:pStyle w:val="Normal1"/>
              <w:spacing w:lineRule="auto" w:line="276"/>
              <w:rPr>
                <w:rFonts w:ascii="Arial Narrow" w:hAnsi="Arial Narrow" w:eastAsia="Arial Narrow" w:cs="Arial Narrow"/>
                <w:sz w:val="18"/>
                <w:szCs w:val="18"/>
              </w:rPr>
            </w:pPr>
            <w:r>
              <w:rPr>
                <w:rFonts w:eastAsia="Arial Narrow" w:cs="Arial Narrow" w:ascii="Arial Narrow" w:hAnsi="Arial Narrow"/>
                <w:sz w:val="18"/>
                <w:szCs w:val="18"/>
              </w:rPr>
            </w:r>
          </w:p>
        </w:tc>
      </w:tr>
    </w:tbl>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t>En caso de que alguno de los subcontratistas indicados vaya a tratar datos personales en el marco del presente contrato, será necesario completar la siguiente información:</w:t>
      </w:r>
    </w:p>
    <w:p>
      <w:pPr>
        <w:pStyle w:val="Normal1"/>
        <w:spacing w:lineRule="auto" w:line="276"/>
        <w:ind w:right="100"/>
        <w:rPr>
          <w:rFonts w:ascii="Calibri" w:hAnsi="Calibri" w:eastAsia="Calibri" w:cs="Calibri"/>
          <w:sz w:val="18"/>
          <w:szCs w:val="18"/>
        </w:rPr>
      </w:pPr>
      <w:r>
        <w:rPr>
          <w:rFonts w:eastAsia="Calibri" w:cs="Calibri" w:ascii="Calibri" w:hAnsi="Calibri"/>
          <w:sz w:val="18"/>
          <w:szCs w:val="18"/>
        </w:rPr>
      </w:r>
    </w:p>
    <w:tbl>
      <w:tblPr>
        <w:tblStyle w:val="Table7"/>
        <w:tblW w:w="10080" w:type="dxa"/>
        <w:jc w:val="left"/>
        <w:tblInd w:w="-405" w:type="dxa"/>
        <w:tblLayout w:type="fixed"/>
        <w:tblCellMar>
          <w:top w:w="0" w:type="dxa"/>
          <w:left w:w="108" w:type="dxa"/>
          <w:bottom w:w="0" w:type="dxa"/>
          <w:right w:w="108" w:type="dxa"/>
        </w:tblCellMar>
        <w:tblLook w:val="0400"/>
      </w:tblPr>
      <w:tblGrid>
        <w:gridCol w:w="1695"/>
        <w:gridCol w:w="1230"/>
        <w:gridCol w:w="1650"/>
        <w:gridCol w:w="1260"/>
        <w:gridCol w:w="1410"/>
        <w:gridCol w:w="1575"/>
        <w:gridCol w:w="1259"/>
      </w:tblGrid>
      <w:tr>
        <w:trPr>
          <w:trHeight w:val="518" w:hRule="atLeast"/>
        </w:trPr>
        <w:tc>
          <w:tcPr>
            <w:tcW w:w="169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ind w:right="100"/>
              <w:rPr>
                <w:rFonts w:ascii="Calibri" w:hAnsi="Calibri" w:eastAsia="Calibri" w:cs="Calibri"/>
                <w:sz w:val="14"/>
                <w:szCs w:val="14"/>
              </w:rPr>
            </w:pPr>
            <w:r>
              <w:rPr>
                <w:rFonts w:eastAsia="Calibri" w:cs="Calibri" w:ascii="Calibri" w:hAnsi="Calibri"/>
                <w:sz w:val="14"/>
                <w:szCs w:val="14"/>
              </w:rPr>
              <w:t>Identidad del subencargado (1)</w:t>
            </w:r>
          </w:p>
        </w:tc>
        <w:tc>
          <w:tcPr>
            <w:tcW w:w="123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ind w:right="100"/>
              <w:rPr>
                <w:rFonts w:ascii="Calibri" w:hAnsi="Calibri" w:eastAsia="Calibri" w:cs="Calibri"/>
                <w:sz w:val="14"/>
                <w:szCs w:val="14"/>
              </w:rPr>
            </w:pPr>
            <w:r>
              <w:rPr>
                <w:rFonts w:eastAsia="Calibri" w:cs="Calibri" w:ascii="Calibri" w:hAnsi="Calibri"/>
                <w:sz w:val="14"/>
                <w:szCs w:val="14"/>
              </w:rPr>
              <w:t>Finalidad del tratamiento</w:t>
            </w:r>
          </w:p>
        </w:tc>
        <w:tc>
          <w:tcPr>
            <w:tcW w:w="165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ind w:right="100"/>
              <w:rPr>
                <w:rFonts w:ascii="Calibri" w:hAnsi="Calibri" w:eastAsia="Calibri" w:cs="Calibri"/>
                <w:sz w:val="14"/>
                <w:szCs w:val="14"/>
              </w:rPr>
            </w:pPr>
            <w:r>
              <w:rPr>
                <w:rFonts w:eastAsia="Calibri" w:cs="Calibri" w:ascii="Calibri" w:hAnsi="Calibri"/>
                <w:sz w:val="14"/>
                <w:szCs w:val="14"/>
              </w:rPr>
              <w:t>Descripción del tratamiento</w:t>
            </w:r>
          </w:p>
        </w:tc>
        <w:tc>
          <w:tcPr>
            <w:tcW w:w="126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ind w:right="100"/>
              <w:rPr>
                <w:rFonts w:ascii="Calibri" w:hAnsi="Calibri" w:eastAsia="Calibri" w:cs="Calibri"/>
                <w:sz w:val="14"/>
                <w:szCs w:val="14"/>
              </w:rPr>
            </w:pPr>
            <w:r>
              <w:rPr>
                <w:rFonts w:eastAsia="Calibri" w:cs="Calibri" w:ascii="Calibri" w:hAnsi="Calibri"/>
                <w:sz w:val="14"/>
                <w:szCs w:val="14"/>
              </w:rPr>
              <w:t>Duración del tratamiento</w:t>
            </w:r>
          </w:p>
        </w:tc>
        <w:tc>
          <w:tcPr>
            <w:tcW w:w="141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ind w:right="100"/>
              <w:rPr>
                <w:rFonts w:ascii="Calibri" w:hAnsi="Calibri" w:eastAsia="Calibri" w:cs="Calibri"/>
                <w:sz w:val="14"/>
                <w:szCs w:val="14"/>
              </w:rPr>
            </w:pPr>
            <w:r>
              <w:rPr>
                <w:rFonts w:eastAsia="Calibri" w:cs="Calibri" w:ascii="Calibri" w:hAnsi="Calibri"/>
                <w:sz w:val="14"/>
                <w:szCs w:val="14"/>
              </w:rPr>
              <w:t>Países fuera del EEE a los que se transfieren los Datos Personales del Responsable</w:t>
            </w:r>
          </w:p>
        </w:tc>
        <w:tc>
          <w:tcPr>
            <w:tcW w:w="157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ind w:right="100"/>
              <w:rPr>
                <w:rFonts w:ascii="Calibri" w:hAnsi="Calibri" w:eastAsia="Calibri" w:cs="Calibri"/>
                <w:b w:val="false"/>
                <w:bCs w:val="false"/>
                <w:sz w:val="14"/>
                <w:szCs w:val="14"/>
              </w:rPr>
            </w:pPr>
            <w:r>
              <w:rPr>
                <w:rFonts w:eastAsia="Calibri" w:cs="Calibri" w:ascii="Calibri" w:hAnsi="Calibri"/>
                <w:sz w:val="14"/>
                <w:szCs w:val="14"/>
              </w:rPr>
              <w:t xml:space="preserve">Categorías y formato de los Datos </w:t>
            </w:r>
          </w:p>
          <w:p>
            <w:pPr>
              <w:pStyle w:val="Normal1"/>
              <w:ind w:right="100"/>
              <w:rPr>
                <w:rFonts w:ascii="Calibri" w:hAnsi="Calibri" w:eastAsia="Calibri" w:cs="Calibri"/>
                <w:sz w:val="14"/>
                <w:szCs w:val="14"/>
              </w:rPr>
            </w:pPr>
            <w:r>
              <w:rPr>
                <w:rFonts w:eastAsia="Calibri" w:cs="Calibri" w:ascii="Calibri" w:hAnsi="Calibri"/>
                <w:sz w:val="14"/>
                <w:szCs w:val="14"/>
              </w:rPr>
              <w:t>Personales del Responsable transferidos</w:t>
            </w:r>
          </w:p>
        </w:tc>
        <w:tc>
          <w:tcPr>
            <w:tcW w:w="1259"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ind w:right="100"/>
              <w:rPr>
                <w:rFonts w:ascii="Calibri" w:hAnsi="Calibri" w:eastAsia="Calibri" w:cs="Calibri"/>
                <w:sz w:val="14"/>
                <w:szCs w:val="14"/>
              </w:rPr>
            </w:pPr>
            <w:r>
              <w:rPr>
                <w:rFonts w:eastAsia="Calibri" w:cs="Calibri" w:ascii="Calibri" w:hAnsi="Calibri"/>
                <w:sz w:val="14"/>
                <w:szCs w:val="14"/>
              </w:rPr>
              <w:t>Herramienta de transferencia</w:t>
            </w:r>
          </w:p>
        </w:tc>
      </w:tr>
      <w:tr>
        <w:trPr>
          <w:trHeight w:val="510" w:hRule="atLeast"/>
        </w:trPr>
        <w:tc>
          <w:tcPr>
            <w:tcW w:w="1695"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Nombre de la empresa[●]</w:t>
            </w:r>
          </w:p>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CIF [●]</w:t>
            </w:r>
          </w:p>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Domicilio social[●]</w:t>
            </w:r>
          </w:p>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País[●]</w:t>
            </w:r>
          </w:p>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r>
          </w:p>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Sector económico: [●]</w:t>
            </w:r>
          </w:p>
        </w:tc>
        <w:tc>
          <w:tcPr>
            <w:tcW w:w="1230"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[Descripción de la finalidad del tratamiento efectuado por el subencargado del tratamiento].</w:t>
            </w:r>
          </w:p>
        </w:tc>
        <w:tc>
          <w:tcPr>
            <w:tcW w:w="1650"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[Descripción del tratamiento, incluyendo una clara delimitación de responsabilidades en caso de que se autoricen varios subtratamientos].</w:t>
            </w:r>
          </w:p>
        </w:tc>
        <w:tc>
          <w:tcPr>
            <w:tcW w:w="1260"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 </w:t>
            </w:r>
          </w:p>
        </w:tc>
        <w:tc>
          <w:tcPr>
            <w:tcW w:w="1410"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Ninguno / Lista de países: [●] </w:t>
            </w:r>
          </w:p>
        </w:tc>
        <w:tc>
          <w:tcPr>
            <w:tcW w:w="1575"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 xml:space="preserve">Datos sensibles tratados: </w:t>
            </w:r>
          </w:p>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[Sí o No]</w:t>
            </w:r>
          </w:p>
        </w:tc>
        <w:tc>
          <w:tcPr>
            <w:tcW w:w="1259"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Decisión de adecuación</w:t>
            </w:r>
          </w:p>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SCCs</w:t>
            </w:r>
          </w:p>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 xml:space="preserve">BCRs </w:t>
            </w:r>
          </w:p>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 </w:t>
            </w:r>
          </w:p>
        </w:tc>
      </w:tr>
      <w:tr>
        <w:trPr>
          <w:trHeight w:val="510" w:hRule="atLeast"/>
        </w:trPr>
        <w:tc>
          <w:tcPr>
            <w:tcW w:w="169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3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65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6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41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57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5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r>
      <w:tr>
        <w:trPr>
          <w:trHeight w:val="887" w:hRule="atLeast"/>
        </w:trPr>
        <w:tc>
          <w:tcPr>
            <w:tcW w:w="169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3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65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6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41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57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5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r>
      <w:tr>
        <w:trPr>
          <w:trHeight w:val="510" w:hRule="atLeast"/>
        </w:trPr>
        <w:tc>
          <w:tcPr>
            <w:tcW w:w="1695"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Persona de contacto: [●]</w:t>
            </w:r>
          </w:p>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 xml:space="preserve">Nombre: [●] </w:t>
            </w:r>
          </w:p>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Posición: [●]</w:t>
            </w:r>
          </w:p>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 xml:space="preserve">Datos de contacto: [●] </w:t>
            </w:r>
          </w:p>
        </w:tc>
        <w:tc>
          <w:tcPr>
            <w:tcW w:w="123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65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6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41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575"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Categorías de datos personales: [●]</w:t>
            </w:r>
          </w:p>
        </w:tc>
        <w:tc>
          <w:tcPr>
            <w:tcW w:w="125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r>
      <w:tr>
        <w:trPr>
          <w:trHeight w:val="380" w:hRule="atLeast"/>
        </w:trPr>
        <w:tc>
          <w:tcPr>
            <w:tcW w:w="169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3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65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6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41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57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5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r>
      <w:tr>
        <w:trPr>
          <w:trHeight w:val="510" w:hRule="atLeast"/>
        </w:trPr>
        <w:tc>
          <w:tcPr>
            <w:tcW w:w="169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3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65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6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41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575"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Formato de los datos personales</w:t>
            </w:r>
            <w:r>
              <w:rPr>
                <w:rFonts w:eastAsia="Calibri" w:cs="Calibri" w:ascii="Calibri" w:hAnsi="Calibri"/>
                <w:b w:val="false"/>
                <w:bCs w:val="false"/>
                <w:color w:val="FFFFFF"/>
                <w:sz w:val="14"/>
                <w:szCs w:val="14"/>
              </w:rPr>
              <w:t xml:space="preserve">: </w:t>
            </w:r>
            <w:r>
              <w:rPr>
                <w:rFonts w:eastAsia="Calibri" w:cs="Calibri" w:ascii="Calibri" w:hAnsi="Calibri"/>
                <w:b w:val="false"/>
                <w:bCs w:val="false"/>
                <w:sz w:val="14"/>
                <w:szCs w:val="14"/>
              </w:rPr>
              <w:t>[●] </w:t>
            </w:r>
          </w:p>
        </w:tc>
        <w:tc>
          <w:tcPr>
            <w:tcW w:w="125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r>
      <w:tr>
        <w:trPr>
          <w:trHeight w:val="225" w:hRule="atLeast"/>
        </w:trPr>
        <w:tc>
          <w:tcPr>
            <w:tcW w:w="169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3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65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6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41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57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5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r>
      <w:tr>
        <w:trPr>
          <w:trHeight w:val="529" w:hRule="atLeast"/>
        </w:trPr>
        <w:tc>
          <w:tcPr>
            <w:tcW w:w="169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ind w:right="100"/>
              <w:rPr>
                <w:rFonts w:ascii="Calibri" w:hAnsi="Calibri" w:eastAsia="Calibri" w:cs="Calibri"/>
                <w:b w:val="false"/>
                <w:bCs w:val="false"/>
                <w:sz w:val="14"/>
                <w:szCs w:val="14"/>
              </w:rPr>
            </w:pPr>
            <w:r>
              <w:rPr>
                <w:rFonts w:eastAsia="Calibri" w:cs="Calibri" w:ascii="Calibri" w:hAnsi="Calibri"/>
                <w:b w:val="false"/>
                <w:bCs w:val="false"/>
                <w:sz w:val="14"/>
                <w:szCs w:val="14"/>
              </w:rPr>
              <w:t>Datos de contacto del RPD: [●]</w:t>
            </w:r>
          </w:p>
        </w:tc>
        <w:tc>
          <w:tcPr>
            <w:tcW w:w="123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65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6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41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57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c>
          <w:tcPr>
            <w:tcW w:w="125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hanging="0" w:left="0" w:right="0"/>
              <w:jc w:val="left"/>
              <w:rPr>
                <w:rFonts w:ascii="Calibri" w:hAnsi="Calibri" w:eastAsia="Calibri" w:cs="Calibri"/>
                <w:b w:val="false"/>
                <w:bCs w:val="false"/>
                <w:sz w:val="14"/>
                <w:szCs w:val="14"/>
              </w:rPr>
            </w:pPr>
            <w:r>
              <w:rPr>
                <w:rFonts w:eastAsia="Calibri" w:cs="Calibri" w:ascii="Calibri" w:hAnsi="Calibri"/>
                <w:b w:val="false"/>
                <w:bCs w:val="false"/>
                <w:sz w:val="14"/>
                <w:szCs w:val="14"/>
              </w:rPr>
            </w:r>
          </w:p>
        </w:tc>
      </w:tr>
    </w:tbl>
    <w:p>
      <w:pPr>
        <w:pStyle w:val="Normal1"/>
        <w:spacing w:lineRule="auto" w:line="276"/>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t>Y a los efectos oportunos, firma la presente, en [●] de [●] de [●].</w:t>
      </w:r>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t>Firma: [●]</w:t>
      </w:r>
    </w:p>
    <w:p>
      <w:pPr>
        <w:pStyle w:val="Normal1"/>
        <w:spacing w:lineRule="auto" w:line="276"/>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widowControl/>
        <w:spacing w:lineRule="auto" w:line="259" w:before="0" w:after="160"/>
        <w:jc w:val="center"/>
        <w:rPr>
          <w:rFonts w:ascii="Arial Narrow" w:hAnsi="Arial Narrow" w:eastAsia="Arial Narrow" w:cs="Arial Narrow"/>
          <w:b/>
          <w:bCs/>
          <w:smallCaps/>
          <w:sz w:val="22"/>
          <w:szCs w:val="22"/>
          <w:u w:val="single"/>
        </w:rPr>
      </w:pPr>
      <w:r>
        <w:rPr>
          <w:rFonts w:eastAsia="Arial Narrow" w:cs="Arial Narrow" w:ascii="Arial Narrow" w:hAnsi="Arial Narrow"/>
          <w:i/>
          <w:iCs/>
          <w:sz w:val="18"/>
          <w:szCs w:val="18"/>
        </w:rPr>
        <w:t xml:space="preserve">(En caso de subcontratación, será necesario acompañar documentación acreditativa del cumplimiento de los criterios de selección cualitativa y, asimismo, acreditar mediante declaración responsable del subcontratista los extremos recogidos en el </w:t>
      </w:r>
      <w:r>
        <w:rPr>
          <w:rFonts w:eastAsia="Arial Narrow" w:cs="Arial Narrow" w:ascii="Arial Narrow" w:hAnsi="Arial Narrow"/>
          <w:b/>
          <w:bCs/>
          <w:i/>
          <w:iCs/>
          <w:sz w:val="18"/>
          <w:szCs w:val="18"/>
          <w:u w:val="single"/>
        </w:rPr>
        <w:t>Anexo núm. 5</w:t>
      </w:r>
      <w:r>
        <w:rPr>
          <w:rFonts w:eastAsia="Arial Narrow" w:cs="Arial Narrow" w:ascii="Arial Narrow" w:hAnsi="Arial Narrow"/>
          <w:i/>
          <w:iCs/>
          <w:sz w:val="18"/>
          <w:szCs w:val="18"/>
        </w:rPr>
        <w:t xml:space="preserve"> de este Pliego).  </w:t>
      </w:r>
      <w:r>
        <w:rPr>
          <w:rFonts w:eastAsia="Arial Narrow" w:cs="Arial Narrow" w:ascii="Arial Narrow" w:hAnsi="Arial Narrow"/>
          <w:sz w:val="18"/>
          <w:szCs w:val="18"/>
        </w:rPr>
        <w:t xml:space="preserve"> </w:t>
      </w:r>
      <w:r>
        <w:br w:type="page"/>
      </w:r>
    </w:p>
    <w:p>
      <w:pPr>
        <w:pStyle w:val="Normal1"/>
        <w:spacing w:lineRule="auto" w:line="276" w:before="0" w:after="0"/>
        <w:rPr>
          <w:rFonts w:ascii="Arial Narrow" w:hAnsi="Arial Narrow" w:eastAsia="Arial Narrow" w:cs="Arial Narrow"/>
          <w:sz w:val="20"/>
          <w:szCs w:val="20"/>
          <w:highlight w:val="yellow"/>
        </w:rPr>
      </w:pPr>
      <w:r>
        <w:rPr>
          <w:rFonts w:eastAsia="Arial Narrow" w:cs="Arial Narrow" w:ascii="Arial Narrow" w:hAnsi="Arial Narrow"/>
          <w:sz w:val="20"/>
          <w:szCs w:val="20"/>
          <w:highlight w:val="yellow"/>
        </w:rPr>
      </w:r>
    </w:p>
    <w:p>
      <w:pPr>
        <w:pStyle w:val="Normal1"/>
        <w:keepNext w:val="true"/>
        <w:keepLines w:val="false"/>
        <w:pageBreakBefore w:val="false"/>
        <w:widowControl/>
        <w:pBdr/>
        <w:shd w:val="clear" w:fill="auto"/>
        <w:spacing w:lineRule="auto" w:line="240" w:before="0" w:after="0"/>
        <w:ind w:hanging="0" w:left="0" w:right="0"/>
        <w:jc w:val="center"/>
        <w:rPr>
          <w:rFonts w:ascii="Arial Narrow" w:hAnsi="Arial Narrow" w:eastAsia="Arial Narrow" w:cs="Arial Narrow"/>
          <w:b/>
          <w:bCs/>
          <w:i w:val="false"/>
          <w:i w:val="false"/>
          <w:iCs w:val="false"/>
          <w:smallCaps/>
          <w:strike w:val="false"/>
          <w:dstrike w:val="false"/>
          <w:color w:val="000000"/>
          <w:position w:val="0"/>
          <w:sz w:val="22"/>
          <w:sz w:val="22"/>
          <w:szCs w:val="22"/>
          <w:u w:val="single"/>
          <w:shd w:fill="auto" w:val="clear"/>
          <w:vertAlign w:val="baseline"/>
        </w:rPr>
      </w:pPr>
      <w:bookmarkStart w:id="3" w:name="_heading=h.2w5ecyt"/>
      <w:bookmarkEnd w:id="3"/>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ANEXO NÚM. 8.- MODELO DE DECLARACIÓN RESPONSABLE DEL CONTRATISTA SOBRE LA UBICACIÓN DE LOS SERVIDORES Y LUGAR DE PRESTACIÓN DE LOS SERVICIOS ASOCIADOS A LOS MISMOS.</w:t>
      </w:r>
    </w:p>
    <w:p>
      <w:pPr>
        <w:pStyle w:val="Normal1"/>
        <w:spacing w:lineRule="auto" w:line="259"/>
        <w:jc w:val="both"/>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El/la abajo firmante, con DNI [●], actuando en nombre propio / en representación de la sociedad [●], con N.I.F. [●], actuando en su condición de [●], en relación al  procedimiento de adjudicación de los servicios de lectura de contadores para empresas del Grupo VEOLIA (Referencia: 2025_C19_0007), declaro bajo mi responsabilidad, dónde van a estar ubicados los servidores y desde dónde se van a prestar los servicios asociados a los mismos*: </w:t>
      </w:r>
    </w:p>
    <w:p>
      <w:pPr>
        <w:pStyle w:val="Normal1"/>
        <w:spacing w:lineRule="auto" w:line="259"/>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jc w:val="both"/>
        <w:rPr>
          <w:rFonts w:ascii="Arial Narrow" w:hAnsi="Arial Narrow" w:eastAsia="Arial Narrow" w:cs="Arial Narrow"/>
          <w:sz w:val="20"/>
          <w:szCs w:val="20"/>
        </w:rPr>
      </w:pPr>
      <w:r>
        <w:rPr>
          <w:rFonts w:eastAsia="Arial Narrow" w:cs="Arial Narrow" w:ascii="Arial Narrow" w:hAnsi="Arial Narrow"/>
          <w:sz w:val="20"/>
          <w:szCs w:val="20"/>
        </w:rPr>
      </w:r>
    </w:p>
    <w:tbl>
      <w:tblPr>
        <w:tblStyle w:val="Table8"/>
        <w:tblW w:w="10064" w:type="dxa"/>
        <w:jc w:val="left"/>
        <w:tblInd w:w="0" w:type="dxa"/>
        <w:tblLayout w:type="fixed"/>
        <w:tblCellMar>
          <w:top w:w="0" w:type="dxa"/>
          <w:left w:w="0" w:type="dxa"/>
          <w:bottom w:w="0" w:type="dxa"/>
          <w:right w:w="0" w:type="dxa"/>
        </w:tblCellMar>
        <w:tblLook w:val="0600"/>
      </w:tblPr>
      <w:tblGrid>
        <w:gridCol w:w="5244"/>
        <w:gridCol w:w="4819"/>
      </w:tblGrid>
      <w:tr>
        <w:trPr>
          <w:trHeight w:val="262" w:hRule="atLeast"/>
        </w:trPr>
        <w:tc>
          <w:tcPr>
            <w:tcW w:w="10063" w:type="dxa"/>
            <w:gridSpan w:val="2"/>
            <w:tcBorders>
              <w:top w:val="single" w:sz="8" w:space="0" w:color="000000"/>
              <w:left w:val="single" w:sz="8" w:space="0" w:color="000000"/>
              <w:bottom w:val="single" w:sz="8" w:space="0" w:color="000000"/>
              <w:right w:val="single" w:sz="8" w:space="0" w:color="000000"/>
            </w:tcBorders>
            <w:shd w:fill="EFEFEF" w:val="clear"/>
          </w:tcPr>
          <w:p>
            <w:pPr>
              <w:pStyle w:val="Normal1"/>
              <w:ind w:hanging="0" w:left="142"/>
              <w:rPr>
                <w:rFonts w:ascii="Arial Narrow" w:hAnsi="Arial Narrow" w:eastAsia="Arial Narrow" w:cs="Arial Narrow"/>
                <w:b/>
                <w:bCs/>
                <w:sz w:val="20"/>
                <w:szCs w:val="20"/>
              </w:rPr>
            </w:pPr>
            <w:r>
              <w:rPr>
                <w:rFonts w:eastAsia="Arial Narrow" w:cs="Arial Narrow" w:ascii="Arial Narrow" w:hAnsi="Arial Narrow"/>
                <w:b/>
                <w:bCs/>
                <w:sz w:val="20"/>
                <w:szCs w:val="20"/>
              </w:rPr>
              <w:t>UBICACIÓN DEL/LOS SERVIDORE/S</w:t>
            </w:r>
          </w:p>
        </w:tc>
      </w:tr>
      <w:tr>
        <w:trPr>
          <w:trHeight w:val="1710" w:hRule="atLeast"/>
        </w:trPr>
        <w:tc>
          <w:tcPr>
            <w:tcW w:w="5244" w:type="dxa"/>
            <w:tcBorders>
              <w:top w:val="single" w:sz="8" w:space="0" w:color="000000"/>
              <w:left w:val="single" w:sz="8" w:space="0" w:color="000000"/>
              <w:bottom w:val="single" w:sz="8" w:space="0" w:color="000000"/>
              <w:right w:val="single" w:sz="8" w:space="0" w:color="000000"/>
            </w:tcBorders>
            <w:shd w:fill="auto" w:val="clear"/>
          </w:tcPr>
          <w:p>
            <w:pPr>
              <w:pStyle w:val="Normal1"/>
              <w:ind w:hanging="0" w:left="142"/>
              <w:rPr>
                <w:rFonts w:ascii="Arial Narrow" w:hAnsi="Arial Narrow" w:eastAsia="Arial Narrow" w:cs="Arial Narrow"/>
                <w:b/>
                <w:bCs/>
                <w:sz w:val="20"/>
                <w:szCs w:val="20"/>
                <w:u w:val="single"/>
                <w:shd w:fill="D9D9D9" w:val="clear"/>
              </w:rPr>
            </w:pPr>
            <w:r>
              <w:rPr>
                <w:rFonts w:eastAsia="Arial Narrow" w:cs="Arial Narrow" w:ascii="Arial Narrow" w:hAnsi="Arial Narrow"/>
                <w:b/>
                <w:bCs/>
                <w:sz w:val="20"/>
                <w:szCs w:val="20"/>
                <w:u w:val="single"/>
                <w:shd w:fill="D9D9D9" w:val="clear"/>
              </w:rPr>
              <w:t>Servidor 1</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 xml:space="preserve">País: </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 xml:space="preserve">Localidad: </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Tipo de servidor:</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 xml:space="preserve">□ </w:t>
            </w:r>
            <w:r>
              <w:rPr>
                <w:rFonts w:eastAsia="Arial Narrow" w:cs="Arial Narrow" w:ascii="Arial Narrow" w:hAnsi="Arial Narrow"/>
                <w:sz w:val="20"/>
                <w:szCs w:val="20"/>
              </w:rPr>
              <w:t>Comunicaciones     □ Aplicaciones</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 xml:space="preserve">□ </w:t>
            </w:r>
            <w:r>
              <w:rPr>
                <w:rFonts w:eastAsia="Arial Narrow" w:cs="Arial Narrow" w:ascii="Arial Narrow" w:hAnsi="Arial Narrow"/>
                <w:sz w:val="20"/>
                <w:szCs w:val="20"/>
              </w:rPr>
              <w:t>Propio</w:t>
              <w:tab/>
              <w:t xml:space="preserve">              □ Ajeno</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ind w:hanging="0" w:left="142" w:right="141"/>
              <w:rPr>
                <w:rFonts w:ascii="Arial Narrow" w:hAnsi="Arial Narrow" w:eastAsia="Arial Narrow" w:cs="Arial Narrow"/>
                <w:sz w:val="20"/>
                <w:szCs w:val="20"/>
              </w:rPr>
            </w:pPr>
            <w:r>
              <w:rPr>
                <w:rFonts w:eastAsia="Arial Narrow" w:cs="Arial Narrow" w:ascii="Arial Narrow" w:hAnsi="Arial Narrow"/>
                <w:sz w:val="20"/>
                <w:szCs w:val="20"/>
              </w:rPr>
              <w:t>Nombre de empresa.</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r>
          </w:p>
        </w:tc>
        <w:tc>
          <w:tcPr>
            <w:tcW w:w="4819" w:type="dxa"/>
            <w:tcBorders>
              <w:top w:val="single" w:sz="8" w:space="0" w:color="000000"/>
              <w:left w:val="single" w:sz="8" w:space="0" w:color="000000"/>
              <w:bottom w:val="single" w:sz="8" w:space="0" w:color="000000"/>
              <w:right w:val="single" w:sz="8" w:space="0" w:color="000000"/>
            </w:tcBorders>
            <w:shd w:fill="auto" w:val="clear"/>
          </w:tcPr>
          <w:p>
            <w:pPr>
              <w:pStyle w:val="Normal1"/>
              <w:ind w:hanging="0" w:left="142"/>
              <w:rPr>
                <w:rFonts w:ascii="Arial Narrow" w:hAnsi="Arial Narrow" w:eastAsia="Arial Narrow" w:cs="Arial Narrow"/>
                <w:b/>
                <w:bCs/>
                <w:sz w:val="20"/>
                <w:szCs w:val="20"/>
                <w:u w:val="single"/>
                <w:shd w:fill="D9D9D9" w:val="clear"/>
              </w:rPr>
            </w:pPr>
            <w:r>
              <w:rPr>
                <w:rFonts w:eastAsia="Arial Narrow" w:cs="Arial Narrow" w:ascii="Arial Narrow" w:hAnsi="Arial Narrow"/>
                <w:b/>
                <w:bCs/>
                <w:sz w:val="20"/>
                <w:szCs w:val="20"/>
                <w:u w:val="single"/>
                <w:shd w:fill="D9D9D9" w:val="clear"/>
              </w:rPr>
              <w:t>Servidor 2</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 xml:space="preserve">País: </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 xml:space="preserve">Localidad: </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Tipo de servidor:</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 xml:space="preserve">□ </w:t>
            </w:r>
            <w:r>
              <w:rPr>
                <w:rFonts w:eastAsia="Arial Narrow" w:cs="Arial Narrow" w:ascii="Arial Narrow" w:hAnsi="Arial Narrow"/>
                <w:sz w:val="20"/>
                <w:szCs w:val="20"/>
              </w:rPr>
              <w:t>Comunicaciones</w:t>
              <w:tab/>
              <w:t>□ Aplicaciones</w:t>
            </w:r>
          </w:p>
          <w:p>
            <w:pPr>
              <w:pStyle w:val="Normal1"/>
              <w:ind w:hanging="0" w:left="142" w:right="259"/>
              <w:rPr>
                <w:rFonts w:ascii="Arial Narrow" w:hAnsi="Arial Narrow" w:eastAsia="Arial Narrow" w:cs="Arial Narrow"/>
                <w:sz w:val="20"/>
                <w:szCs w:val="20"/>
              </w:rPr>
            </w:pPr>
            <w:r>
              <w:rPr>
                <w:rFonts w:eastAsia="Arial Narrow" w:cs="Arial Narrow" w:ascii="Arial Narrow" w:hAnsi="Arial Narrow"/>
                <w:sz w:val="20"/>
                <w:szCs w:val="20"/>
              </w:rPr>
              <w:t xml:space="preserve">□ </w:t>
            </w:r>
            <w:r>
              <w:rPr>
                <w:rFonts w:eastAsia="Arial Narrow" w:cs="Arial Narrow" w:ascii="Arial Narrow" w:hAnsi="Arial Narrow"/>
                <w:sz w:val="20"/>
                <w:szCs w:val="20"/>
              </w:rPr>
              <w:t xml:space="preserve">Propio         </w:t>
              <w:tab/>
              <w:t>□ Ajeno</w:t>
            </w:r>
          </w:p>
          <w:p>
            <w:pPr>
              <w:pStyle w:val="Normal1"/>
              <w:ind w:hanging="0" w:left="142" w:right="141"/>
              <w:jc w:val="both"/>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ind w:hanging="0" w:left="142" w:right="141"/>
              <w:rPr>
                <w:rFonts w:ascii="Arial Narrow" w:hAnsi="Arial Narrow" w:eastAsia="Arial Narrow" w:cs="Arial Narrow"/>
                <w:sz w:val="20"/>
                <w:szCs w:val="20"/>
              </w:rPr>
            </w:pPr>
            <w:r>
              <w:rPr>
                <w:rFonts w:eastAsia="Arial Narrow" w:cs="Arial Narrow" w:ascii="Arial Narrow" w:hAnsi="Arial Narrow"/>
                <w:sz w:val="20"/>
                <w:szCs w:val="20"/>
              </w:rPr>
              <w:t>Nombre de empresa.</w:t>
            </w:r>
          </w:p>
          <w:p>
            <w:pPr>
              <w:pStyle w:val="Normal1"/>
              <w:ind w:hanging="0" w:left="142"/>
              <w:rPr>
                <w:rFonts w:ascii="Arial Narrow" w:hAnsi="Arial Narrow" w:eastAsia="Arial Narrow" w:cs="Arial Narrow"/>
                <w:b/>
                <w:bCs/>
                <w:sz w:val="20"/>
                <w:szCs w:val="20"/>
                <w:u w:val="single"/>
              </w:rPr>
            </w:pPr>
            <w:r>
              <w:rPr>
                <w:rFonts w:eastAsia="Arial Narrow" w:cs="Arial Narrow" w:ascii="Arial Narrow" w:hAnsi="Arial Narrow"/>
                <w:b/>
                <w:bCs/>
                <w:sz w:val="20"/>
                <w:szCs w:val="20"/>
                <w:u w:val="single"/>
              </w:rPr>
            </w:r>
          </w:p>
        </w:tc>
      </w:tr>
    </w:tbl>
    <w:p>
      <w:pPr>
        <w:pStyle w:val="Normal1"/>
        <w:ind w:right="27"/>
        <w:jc w:val="both"/>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ind w:right="27"/>
        <w:jc w:val="both"/>
        <w:rPr>
          <w:rFonts w:ascii="Arial Narrow" w:hAnsi="Arial Narrow" w:eastAsia="Arial Narrow" w:cs="Arial Narrow"/>
          <w:b/>
          <w:bCs/>
          <w:sz w:val="20"/>
          <w:szCs w:val="20"/>
        </w:rPr>
      </w:pPr>
      <w:r>
        <w:rPr>
          <w:rFonts w:eastAsia="Arial Narrow" w:cs="Arial Narrow" w:ascii="Arial Narrow" w:hAnsi="Arial Narrow"/>
          <w:b/>
          <w:bCs/>
          <w:sz w:val="20"/>
          <w:szCs w:val="20"/>
        </w:rPr>
      </w:r>
    </w:p>
    <w:tbl>
      <w:tblPr>
        <w:tblStyle w:val="Table9"/>
        <w:tblW w:w="8505" w:type="dxa"/>
        <w:jc w:val="left"/>
        <w:tblInd w:w="0" w:type="dxa"/>
        <w:tblLayout w:type="fixed"/>
        <w:tblCellMar>
          <w:top w:w="100" w:type="dxa"/>
          <w:left w:w="100" w:type="dxa"/>
          <w:bottom w:w="100" w:type="dxa"/>
          <w:right w:w="100" w:type="dxa"/>
        </w:tblCellMar>
        <w:tblLook w:val="0600"/>
      </w:tblPr>
      <w:tblGrid>
        <w:gridCol w:w="4252"/>
        <w:gridCol w:w="4252"/>
      </w:tblGrid>
      <w:tr>
        <w:trPr>
          <w:trHeight w:val="400" w:hRule="atLeast"/>
        </w:trPr>
        <w:tc>
          <w:tcPr>
            <w:tcW w:w="8504" w:type="dxa"/>
            <w:gridSpan w:val="2"/>
            <w:tcBorders>
              <w:top w:val="single" w:sz="8" w:space="0" w:color="000000"/>
              <w:left w:val="single" w:sz="8" w:space="0" w:color="000000"/>
              <w:bottom w:val="single" w:sz="8" w:space="0" w:color="000000"/>
              <w:right w:val="single" w:sz="8" w:space="0" w:color="000000"/>
            </w:tcBorders>
            <w:shd w:fill="EFEFEF" w:val="clear"/>
          </w:tcPr>
          <w:p>
            <w:pPr>
              <w:pStyle w:val="Normal1"/>
              <w:ind w:right="27"/>
              <w:jc w:val="both"/>
              <w:rPr>
                <w:rFonts w:ascii="Arial Narrow" w:hAnsi="Arial Narrow" w:eastAsia="Arial Narrow" w:cs="Arial Narrow"/>
                <w:b/>
                <w:bCs/>
                <w:sz w:val="20"/>
                <w:szCs w:val="20"/>
                <w:u w:val="single"/>
              </w:rPr>
            </w:pPr>
            <w:r>
              <w:rPr>
                <w:rFonts w:eastAsia="Arial Narrow" w:cs="Arial Narrow" w:ascii="Arial Narrow" w:hAnsi="Arial Narrow"/>
                <w:b/>
                <w:bCs/>
                <w:sz w:val="20"/>
                <w:szCs w:val="20"/>
              </w:rPr>
              <w:t xml:space="preserve">LUGAR/ES DESDE DONDE SE PRESTAN LOS SERVICIOS ASOCIADOS A LOS SERVIDORES </w:t>
            </w:r>
          </w:p>
        </w:tc>
      </w:tr>
      <w:tr>
        <w:trPr>
          <w:trHeight w:val="400" w:hRule="atLeast"/>
        </w:trPr>
        <w:tc>
          <w:tcPr>
            <w:tcW w:w="8504" w:type="dxa"/>
            <w:gridSpan w:val="2"/>
            <w:tcBorders>
              <w:top w:val="single" w:sz="8" w:space="0" w:color="000000"/>
              <w:left w:val="single" w:sz="8" w:space="0" w:color="000000"/>
              <w:bottom w:val="single" w:sz="8" w:space="0" w:color="000000"/>
              <w:right w:val="single" w:sz="8" w:space="0" w:color="000000"/>
            </w:tcBorders>
            <w:shd w:fill="EFEFEF" w:val="clear"/>
          </w:tcPr>
          <w:p>
            <w:pPr>
              <w:pStyle w:val="Normal1"/>
              <w:tabs>
                <w:tab w:val="clear" w:pos="720"/>
                <w:tab w:val="left" w:pos="132" w:leader="none"/>
              </w:tabs>
              <w:jc w:val="both"/>
              <w:rPr>
                <w:rFonts w:ascii="Arial Narrow" w:hAnsi="Arial Narrow" w:eastAsia="Arial Narrow" w:cs="Arial Narrow"/>
                <w:b/>
                <w:bCs/>
                <w:sz w:val="20"/>
                <w:szCs w:val="20"/>
                <w:shd w:fill="D9D9D9" w:val="clear"/>
              </w:rPr>
            </w:pPr>
            <w:r>
              <w:rPr>
                <w:rFonts w:eastAsia="Arial Narrow" w:cs="Arial Narrow" w:ascii="Arial Narrow" w:hAnsi="Arial Narrow"/>
                <w:b/>
                <w:bCs/>
                <w:sz w:val="20"/>
                <w:szCs w:val="20"/>
              </w:rPr>
              <w:t>En caso de que los servicios asociados a los servidores (recogida, almacenamiento, procesamiento y gestión de los datos) se presten por personal propio de la empresa, indique la localización desde donde se presta el soporte o asistencia</w:t>
            </w:r>
            <w:r>
              <w:rPr>
                <w:rFonts w:eastAsia="Arial Narrow" w:cs="Arial Narrow" w:ascii="Arial Narrow" w:hAnsi="Arial Narrow"/>
                <w:sz w:val="20"/>
                <w:szCs w:val="20"/>
              </w:rPr>
              <w:t>::</w:t>
            </w:r>
          </w:p>
        </w:tc>
      </w:tr>
      <w:tr>
        <w:trPr/>
        <w:tc>
          <w:tcPr>
            <w:tcW w:w="4252" w:type="dxa"/>
            <w:tcBorders>
              <w:top w:val="single" w:sz="8" w:space="0" w:color="000000"/>
              <w:left w:val="single" w:sz="8" w:space="0" w:color="000000"/>
              <w:bottom w:val="single" w:sz="8" w:space="0" w:color="000000"/>
              <w:right w:val="single" w:sz="8" w:space="0" w:color="000000"/>
            </w:tcBorders>
            <w:shd w:fill="auto" w:val="clear"/>
          </w:tcPr>
          <w:p>
            <w:pPr>
              <w:pStyle w:val="Normal1"/>
              <w:ind w:right="144"/>
              <w:rPr>
                <w:rFonts w:ascii="Arial Narrow" w:hAnsi="Arial Narrow" w:eastAsia="Arial Narrow" w:cs="Arial Narrow"/>
                <w:b/>
                <w:bCs/>
                <w:sz w:val="20"/>
                <w:szCs w:val="20"/>
                <w:u w:val="single"/>
                <w:shd w:fill="D9D9D9" w:val="clear"/>
              </w:rPr>
            </w:pPr>
            <w:r>
              <w:rPr>
                <w:rFonts w:eastAsia="Arial Narrow" w:cs="Arial Narrow" w:ascii="Arial Narrow" w:hAnsi="Arial Narrow"/>
                <w:b/>
                <w:bCs/>
                <w:sz w:val="20"/>
                <w:szCs w:val="20"/>
                <w:u w:val="single"/>
                <w:shd w:fill="D9D9D9" w:val="clear"/>
              </w:rPr>
              <w:t xml:space="preserve">Servidor 1 </w:t>
            </w:r>
          </w:p>
          <w:p>
            <w:pPr>
              <w:pStyle w:val="Normal1"/>
              <w:ind w:hanging="135" w:left="992" w:right="27"/>
              <w:rPr>
                <w:rFonts w:ascii="Arial Narrow" w:hAnsi="Arial Narrow" w:eastAsia="Arial Narrow" w:cs="Arial Narrow"/>
                <w:sz w:val="20"/>
                <w:szCs w:val="20"/>
              </w:rPr>
            </w:pPr>
            <w:r>
              <w:rPr>
                <w:rFonts w:eastAsia="Arial Narrow" w:cs="Arial Narrow" w:ascii="Arial Narrow" w:hAnsi="Arial Narrow"/>
                <w:sz w:val="20"/>
                <w:szCs w:val="20"/>
              </w:rPr>
              <w:t xml:space="preserve">País:  </w:t>
            </w:r>
          </w:p>
          <w:p>
            <w:pPr>
              <w:pStyle w:val="Normal1"/>
              <w:ind w:hanging="135" w:left="992" w:right="27"/>
              <w:rPr>
                <w:rFonts w:ascii="Arial Narrow" w:hAnsi="Arial Narrow" w:eastAsia="Arial Narrow" w:cs="Arial Narrow"/>
                <w:b/>
                <w:bCs/>
                <w:sz w:val="20"/>
                <w:szCs w:val="20"/>
              </w:rPr>
            </w:pPr>
            <w:r>
              <w:rPr>
                <w:rFonts w:eastAsia="Arial Narrow" w:cs="Arial Narrow" w:ascii="Arial Narrow" w:hAnsi="Arial Narrow"/>
                <w:sz w:val="20"/>
                <w:szCs w:val="20"/>
              </w:rPr>
              <w:t xml:space="preserve">Localidad: </w:t>
            </w:r>
          </w:p>
        </w:tc>
        <w:tc>
          <w:tcPr>
            <w:tcW w:w="4252" w:type="dxa"/>
            <w:tcBorders>
              <w:top w:val="single" w:sz="8" w:space="0" w:color="000000"/>
              <w:left w:val="single" w:sz="8" w:space="0" w:color="000000"/>
              <w:bottom w:val="single" w:sz="8" w:space="0" w:color="000000"/>
              <w:right w:val="single" w:sz="8" w:space="0" w:color="000000"/>
            </w:tcBorders>
            <w:shd w:fill="auto" w:val="clear"/>
          </w:tcPr>
          <w:p>
            <w:pPr>
              <w:pStyle w:val="Normal1"/>
              <w:ind w:right="144"/>
              <w:rPr>
                <w:rFonts w:ascii="Arial Narrow" w:hAnsi="Arial Narrow" w:eastAsia="Arial Narrow" w:cs="Arial Narrow"/>
                <w:b/>
                <w:bCs/>
                <w:sz w:val="20"/>
                <w:szCs w:val="20"/>
                <w:u w:val="single"/>
                <w:shd w:fill="D9D9D9" w:val="clear"/>
              </w:rPr>
            </w:pPr>
            <w:r>
              <w:rPr>
                <w:rFonts w:eastAsia="Arial Narrow" w:cs="Arial Narrow" w:ascii="Arial Narrow" w:hAnsi="Arial Narrow"/>
                <w:b/>
                <w:bCs/>
                <w:sz w:val="20"/>
                <w:szCs w:val="20"/>
                <w:u w:val="single"/>
                <w:shd w:fill="D9D9D9" w:val="clear"/>
              </w:rPr>
              <w:t xml:space="preserve">Servidor 2 </w:t>
            </w:r>
          </w:p>
          <w:p>
            <w:pPr>
              <w:pStyle w:val="Normal1"/>
              <w:ind w:hanging="135" w:left="992" w:right="27"/>
              <w:rPr>
                <w:rFonts w:ascii="Arial Narrow" w:hAnsi="Arial Narrow" w:eastAsia="Arial Narrow" w:cs="Arial Narrow"/>
                <w:sz w:val="20"/>
                <w:szCs w:val="20"/>
              </w:rPr>
            </w:pPr>
            <w:r>
              <w:rPr>
                <w:rFonts w:eastAsia="Arial Narrow" w:cs="Arial Narrow" w:ascii="Arial Narrow" w:hAnsi="Arial Narrow"/>
                <w:sz w:val="20"/>
                <w:szCs w:val="20"/>
              </w:rPr>
              <w:t xml:space="preserve">País:  </w:t>
            </w:r>
          </w:p>
          <w:p>
            <w:pPr>
              <w:pStyle w:val="Normal1"/>
              <w:ind w:hanging="135" w:left="992" w:right="27"/>
              <w:rPr>
                <w:rFonts w:ascii="Arial Narrow" w:hAnsi="Arial Narrow" w:eastAsia="Arial Narrow" w:cs="Arial Narrow"/>
                <w:b/>
                <w:bCs/>
                <w:sz w:val="20"/>
                <w:szCs w:val="20"/>
              </w:rPr>
            </w:pPr>
            <w:r>
              <w:rPr>
                <w:rFonts w:eastAsia="Arial Narrow" w:cs="Arial Narrow" w:ascii="Arial Narrow" w:hAnsi="Arial Narrow"/>
                <w:sz w:val="20"/>
                <w:szCs w:val="20"/>
              </w:rPr>
              <w:t xml:space="preserve">Localidad: </w:t>
            </w:r>
          </w:p>
        </w:tc>
      </w:tr>
      <w:tr>
        <w:trPr>
          <w:trHeight w:val="400" w:hRule="atLeast"/>
        </w:trPr>
        <w:tc>
          <w:tcPr>
            <w:tcW w:w="8504" w:type="dxa"/>
            <w:gridSpan w:val="2"/>
            <w:tcBorders>
              <w:top w:val="single" w:sz="8" w:space="0" w:color="000000"/>
              <w:left w:val="single" w:sz="8" w:space="0" w:color="000000"/>
              <w:bottom w:val="single" w:sz="8" w:space="0" w:color="000000"/>
              <w:right w:val="single" w:sz="8" w:space="0" w:color="000000"/>
            </w:tcBorders>
          </w:tcPr>
          <w:p>
            <w:pPr>
              <w:pStyle w:val="Normal1"/>
              <w:tabs>
                <w:tab w:val="clear" w:pos="720"/>
                <w:tab w:val="left" w:pos="132" w:leader="none"/>
              </w:tabs>
              <w:jc w:val="both"/>
              <w:rPr>
                <w:rFonts w:ascii="Arial Narrow" w:hAnsi="Arial Narrow" w:eastAsia="Arial Narrow" w:cs="Arial Narrow"/>
                <w:b/>
                <w:bCs/>
                <w:sz w:val="20"/>
                <w:szCs w:val="20"/>
              </w:rPr>
            </w:pPr>
            <w:r>
              <w:rPr>
                <w:rFonts w:eastAsia="Arial Narrow" w:cs="Arial Narrow" w:ascii="Arial Narrow" w:hAnsi="Arial Narrow"/>
                <w:b/>
                <w:bCs/>
                <w:sz w:val="20"/>
                <w:szCs w:val="20"/>
              </w:rPr>
            </w:r>
          </w:p>
        </w:tc>
      </w:tr>
      <w:tr>
        <w:trPr>
          <w:trHeight w:val="400" w:hRule="atLeast"/>
        </w:trPr>
        <w:tc>
          <w:tcPr>
            <w:tcW w:w="8504" w:type="dxa"/>
            <w:gridSpan w:val="2"/>
            <w:tcBorders>
              <w:top w:val="single" w:sz="8" w:space="0" w:color="000000"/>
              <w:left w:val="single" w:sz="8" w:space="0" w:color="000000"/>
              <w:bottom w:val="single" w:sz="8" w:space="0" w:color="000000"/>
              <w:right w:val="single" w:sz="8" w:space="0" w:color="000000"/>
            </w:tcBorders>
            <w:shd w:fill="EFEFEF" w:val="clear"/>
          </w:tcPr>
          <w:p>
            <w:pPr>
              <w:pStyle w:val="Normal1"/>
              <w:tabs>
                <w:tab w:val="clear" w:pos="720"/>
                <w:tab w:val="left" w:pos="132" w:leader="none"/>
              </w:tabs>
              <w:jc w:val="both"/>
              <w:rPr>
                <w:rFonts w:ascii="Arial Narrow" w:hAnsi="Arial Narrow" w:eastAsia="Arial Narrow" w:cs="Arial Narrow"/>
                <w:b/>
                <w:bCs/>
                <w:sz w:val="20"/>
                <w:szCs w:val="20"/>
                <w:u w:val="single"/>
                <w:shd w:fill="D9D9D9" w:val="clear"/>
              </w:rPr>
            </w:pPr>
            <w:r>
              <w:rPr>
                <w:rFonts w:eastAsia="Arial Narrow" w:cs="Arial Narrow" w:ascii="Arial Narrow" w:hAnsi="Arial Narrow"/>
                <w:b/>
                <w:bCs/>
                <w:sz w:val="20"/>
                <w:szCs w:val="20"/>
              </w:rPr>
              <w:t>En caso de que se contrate los servicios de alojamiento de los servidores a un tercero, indique:</w:t>
            </w:r>
          </w:p>
        </w:tc>
      </w:tr>
      <w:tr>
        <w:trPr/>
        <w:tc>
          <w:tcPr>
            <w:tcW w:w="4252" w:type="dxa"/>
            <w:tcBorders>
              <w:top w:val="single" w:sz="8" w:space="0" w:color="000000"/>
              <w:left w:val="single" w:sz="8" w:space="0" w:color="000000"/>
              <w:bottom w:val="single" w:sz="8" w:space="0" w:color="000000"/>
              <w:right w:val="single" w:sz="8" w:space="0" w:color="000000"/>
            </w:tcBorders>
            <w:shd w:fill="auto" w:val="clear"/>
          </w:tcPr>
          <w:p>
            <w:pPr>
              <w:pStyle w:val="Normal1"/>
              <w:ind w:right="144"/>
              <w:rPr>
                <w:rFonts w:ascii="Arial Narrow" w:hAnsi="Arial Narrow" w:eastAsia="Arial Narrow" w:cs="Arial Narrow"/>
                <w:b/>
                <w:bCs/>
                <w:sz w:val="20"/>
                <w:szCs w:val="20"/>
                <w:u w:val="single"/>
                <w:shd w:fill="D9D9D9" w:val="clear"/>
              </w:rPr>
            </w:pPr>
            <w:r>
              <w:rPr>
                <w:rFonts w:eastAsia="Arial Narrow" w:cs="Arial Narrow" w:ascii="Arial Narrow" w:hAnsi="Arial Narrow"/>
                <w:b/>
                <w:bCs/>
                <w:sz w:val="20"/>
                <w:szCs w:val="20"/>
                <w:u w:val="single"/>
                <w:shd w:fill="D9D9D9" w:val="clear"/>
              </w:rPr>
              <w:t xml:space="preserve">Servidor 1 </w:t>
            </w:r>
          </w:p>
          <w:p>
            <w:pPr>
              <w:pStyle w:val="Normal1"/>
              <w:ind w:hanging="0" w:left="141" w:right="27"/>
              <w:rPr>
                <w:rFonts w:ascii="Arial Narrow" w:hAnsi="Arial Narrow" w:eastAsia="Arial Narrow" w:cs="Arial Narrow"/>
                <w:sz w:val="20"/>
                <w:szCs w:val="20"/>
              </w:rPr>
            </w:pPr>
            <w:r>
              <w:rPr>
                <w:rFonts w:eastAsia="Arial Narrow" w:cs="Arial Narrow" w:ascii="Arial Narrow" w:hAnsi="Arial Narrow"/>
                <w:sz w:val="20"/>
                <w:szCs w:val="20"/>
              </w:rPr>
              <w:t>Nombre de la empresa proveedora*:</w:t>
            </w:r>
          </w:p>
          <w:p>
            <w:pPr>
              <w:pStyle w:val="Normal1"/>
              <w:ind w:hanging="0" w:left="141" w:right="27"/>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ind w:hanging="0" w:left="141"/>
              <w:rPr>
                <w:rFonts w:ascii="Arial Narrow" w:hAnsi="Arial Narrow" w:eastAsia="Arial Narrow" w:cs="Arial Narrow"/>
                <w:sz w:val="16"/>
                <w:szCs w:val="16"/>
              </w:rPr>
            </w:pPr>
            <w:r>
              <w:rPr>
                <w:rFonts w:eastAsia="Arial Narrow" w:cs="Arial Narrow" w:ascii="Arial Narrow" w:hAnsi="Arial Narrow"/>
                <w:sz w:val="16"/>
                <w:szCs w:val="16"/>
              </w:rPr>
              <w:t xml:space="preserve">* (nombre o el perfil empresarial, definido por referencia a las condiciones de solvencia profesional o técnica, de los subcontratistas a los que se vaya a encomendar su realización) </w:t>
            </w:r>
          </w:p>
          <w:p>
            <w:pPr>
              <w:pStyle w:val="Normal1"/>
              <w:ind w:hanging="0" w:left="141" w:right="27"/>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ind w:hanging="0" w:left="141" w:right="27"/>
              <w:rPr>
                <w:rFonts w:ascii="Arial Narrow" w:hAnsi="Arial Narrow" w:eastAsia="Arial Narrow" w:cs="Arial Narrow"/>
                <w:sz w:val="20"/>
                <w:szCs w:val="20"/>
              </w:rPr>
            </w:pPr>
            <w:r>
              <w:rPr>
                <w:rFonts w:eastAsia="Arial Narrow" w:cs="Arial Narrow" w:ascii="Arial Narrow" w:hAnsi="Arial Narrow"/>
                <w:sz w:val="20"/>
                <w:szCs w:val="20"/>
              </w:rPr>
              <w:t>Tipo de servicio contratado:</w:t>
            </w:r>
          </w:p>
          <w:p>
            <w:pPr>
              <w:pStyle w:val="Normal1"/>
              <w:tabs>
                <w:tab w:val="clear" w:pos="720"/>
                <w:tab w:val="right" w:pos="5233" w:leader="none"/>
              </w:tabs>
              <w:ind w:hanging="0" w:left="141"/>
              <w:rPr>
                <w:rFonts w:ascii="Arial Narrow" w:hAnsi="Arial Narrow" w:eastAsia="Arial Narrow" w:cs="Arial Narrow"/>
                <w:sz w:val="20"/>
                <w:szCs w:val="20"/>
              </w:rPr>
            </w:pPr>
            <w:r>
              <w:rPr>
                <w:rFonts w:eastAsia="Arial Narrow" w:cs="Arial Narrow" w:ascii="Arial Narrow" w:hAnsi="Arial Narrow"/>
                <w:sz w:val="20"/>
                <w:szCs w:val="20"/>
              </w:rPr>
              <w:t xml:space="preserve">  □ </w:t>
            </w:r>
            <w:r>
              <w:rPr>
                <w:rFonts w:eastAsia="Arial Narrow" w:cs="Arial Narrow" w:ascii="Arial Narrow" w:hAnsi="Arial Narrow"/>
                <w:sz w:val="20"/>
                <w:szCs w:val="20"/>
              </w:rPr>
              <w:t>Housing      □Hosting dedicado</w:t>
              <w:tab/>
              <w:t>□Hosting compartido</w:t>
            </w:r>
          </w:p>
          <w:p>
            <w:pPr>
              <w:pStyle w:val="Normal1"/>
              <w:ind w:hanging="0" w:left="141"/>
              <w:rPr>
                <w:rFonts w:ascii="Arial Narrow" w:hAnsi="Arial Narrow" w:eastAsia="Arial Narrow" w:cs="Arial Narrow"/>
                <w:sz w:val="20"/>
                <w:szCs w:val="20"/>
              </w:rPr>
            </w:pPr>
            <w:r>
              <w:rPr>
                <w:rFonts w:eastAsia="Arial Narrow" w:cs="Arial Narrow" w:ascii="Arial Narrow" w:hAnsi="Arial Narrow"/>
                <w:sz w:val="20"/>
                <w:szCs w:val="20"/>
              </w:rPr>
              <w:t xml:space="preserve">Marcar en caso de ser un servicio de Cloud Computing </w:t>
            </w:r>
          </w:p>
          <w:p>
            <w:pPr>
              <w:pStyle w:val="Normal1"/>
              <w:tabs>
                <w:tab w:val="clear" w:pos="720"/>
                <w:tab w:val="left" w:pos="132" w:leader="none"/>
              </w:tabs>
              <w:ind w:hanging="283" w:left="566"/>
              <w:jc w:val="both"/>
              <w:rPr>
                <w:rFonts w:ascii="Arial Narrow" w:hAnsi="Arial Narrow" w:eastAsia="Arial Narrow" w:cs="Arial Narrow"/>
                <w:b/>
                <w:bCs/>
                <w:sz w:val="20"/>
                <w:szCs w:val="20"/>
              </w:rPr>
            </w:pPr>
            <w:r>
              <w:rPr>
                <w:rFonts w:eastAsia="Arial Narrow" w:cs="Arial Narrow" w:ascii="Arial Narrow" w:hAnsi="Arial Narrow"/>
                <w:b/>
                <w:bCs/>
                <w:sz w:val="20"/>
                <w:szCs w:val="20"/>
              </w:rPr>
            </w:r>
          </w:p>
        </w:tc>
        <w:tc>
          <w:tcPr>
            <w:tcW w:w="4252" w:type="dxa"/>
            <w:tcBorders>
              <w:top w:val="single" w:sz="8" w:space="0" w:color="000000"/>
              <w:left w:val="single" w:sz="8" w:space="0" w:color="000000"/>
              <w:bottom w:val="single" w:sz="8" w:space="0" w:color="000000"/>
              <w:right w:val="single" w:sz="8" w:space="0" w:color="000000"/>
            </w:tcBorders>
            <w:shd w:fill="auto" w:val="clear"/>
          </w:tcPr>
          <w:p>
            <w:pPr>
              <w:pStyle w:val="Normal1"/>
              <w:ind w:hanging="0" w:left="141" w:right="27"/>
              <w:rPr>
                <w:rFonts w:ascii="Arial Narrow" w:hAnsi="Arial Narrow" w:eastAsia="Arial Narrow" w:cs="Arial Narrow"/>
                <w:b/>
                <w:bCs/>
                <w:sz w:val="20"/>
                <w:szCs w:val="20"/>
                <w:u w:val="single"/>
                <w:shd w:fill="D9D9D9" w:val="clear"/>
              </w:rPr>
            </w:pPr>
            <w:r>
              <w:rPr>
                <w:rFonts w:eastAsia="Arial Narrow" w:cs="Arial Narrow" w:ascii="Arial Narrow" w:hAnsi="Arial Narrow"/>
                <w:b/>
                <w:bCs/>
                <w:sz w:val="20"/>
                <w:szCs w:val="20"/>
                <w:u w:val="single"/>
                <w:shd w:fill="D9D9D9" w:val="clear"/>
              </w:rPr>
              <w:t xml:space="preserve">Servidor 2 </w:t>
            </w:r>
          </w:p>
          <w:p>
            <w:pPr>
              <w:pStyle w:val="Normal1"/>
              <w:ind w:hanging="0" w:left="141" w:right="27"/>
              <w:rPr>
                <w:rFonts w:ascii="Arial Narrow" w:hAnsi="Arial Narrow" w:eastAsia="Arial Narrow" w:cs="Arial Narrow"/>
                <w:sz w:val="20"/>
                <w:szCs w:val="20"/>
              </w:rPr>
            </w:pPr>
            <w:r>
              <w:rPr>
                <w:rFonts w:eastAsia="Arial Narrow" w:cs="Arial Narrow" w:ascii="Arial Narrow" w:hAnsi="Arial Narrow"/>
                <w:sz w:val="20"/>
                <w:szCs w:val="20"/>
              </w:rPr>
              <w:t>Nombre de la empresa proveedora*:</w:t>
            </w:r>
          </w:p>
          <w:p>
            <w:pPr>
              <w:pStyle w:val="Normal1"/>
              <w:ind w:hanging="0" w:left="141" w:right="27"/>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ind w:hanging="0" w:left="141"/>
              <w:rPr>
                <w:rFonts w:ascii="Arial Narrow" w:hAnsi="Arial Narrow" w:eastAsia="Arial Narrow" w:cs="Arial Narrow"/>
                <w:sz w:val="16"/>
                <w:szCs w:val="16"/>
              </w:rPr>
            </w:pPr>
            <w:r>
              <w:rPr>
                <w:rFonts w:eastAsia="Arial Narrow" w:cs="Arial Narrow" w:ascii="Arial Narrow" w:hAnsi="Arial Narrow"/>
                <w:sz w:val="16"/>
                <w:szCs w:val="16"/>
              </w:rPr>
              <w:t xml:space="preserve">* (nombre o el perfil empresarial, definido por referencia a las condiciones de solvencia profesional o técnica, de los subcontratistas a los que se vaya a encomendar su realización) </w:t>
            </w:r>
          </w:p>
          <w:p>
            <w:pPr>
              <w:pStyle w:val="Normal1"/>
              <w:ind w:hanging="0" w:left="141"/>
              <w:rPr>
                <w:rFonts w:ascii="Arial Narrow" w:hAnsi="Arial Narrow" w:eastAsia="Arial Narrow" w:cs="Arial Narrow"/>
                <w:sz w:val="16"/>
                <w:szCs w:val="16"/>
              </w:rPr>
            </w:pPr>
            <w:r>
              <w:rPr>
                <w:rFonts w:eastAsia="Arial Narrow" w:cs="Arial Narrow" w:ascii="Arial Narrow" w:hAnsi="Arial Narrow"/>
                <w:sz w:val="16"/>
                <w:szCs w:val="16"/>
              </w:rPr>
            </w:r>
          </w:p>
          <w:p>
            <w:pPr>
              <w:pStyle w:val="Normal1"/>
              <w:ind w:hanging="0" w:left="141" w:right="27"/>
              <w:rPr>
                <w:rFonts w:ascii="Arial Narrow" w:hAnsi="Arial Narrow" w:eastAsia="Arial Narrow" w:cs="Arial Narrow"/>
                <w:sz w:val="20"/>
                <w:szCs w:val="20"/>
              </w:rPr>
            </w:pPr>
            <w:r>
              <w:rPr>
                <w:rFonts w:eastAsia="Arial Narrow" w:cs="Arial Narrow" w:ascii="Arial Narrow" w:hAnsi="Arial Narrow"/>
                <w:sz w:val="20"/>
                <w:szCs w:val="20"/>
              </w:rPr>
              <w:t>Tipo de servicio contratado:</w:t>
            </w:r>
          </w:p>
          <w:p>
            <w:pPr>
              <w:pStyle w:val="Normal1"/>
              <w:tabs>
                <w:tab w:val="clear" w:pos="720"/>
                <w:tab w:val="right" w:pos="5233" w:leader="none"/>
              </w:tabs>
              <w:ind w:hanging="0" w:left="141"/>
              <w:rPr>
                <w:rFonts w:ascii="Arial Narrow" w:hAnsi="Arial Narrow" w:eastAsia="Arial Narrow" w:cs="Arial Narrow"/>
                <w:sz w:val="20"/>
                <w:szCs w:val="20"/>
              </w:rPr>
            </w:pPr>
            <w:r>
              <w:rPr>
                <w:rFonts w:eastAsia="Arial Narrow" w:cs="Arial Narrow" w:ascii="Arial Narrow" w:hAnsi="Arial Narrow"/>
                <w:sz w:val="20"/>
                <w:szCs w:val="20"/>
              </w:rPr>
              <w:t xml:space="preserve">  □ </w:t>
            </w:r>
            <w:r>
              <w:rPr>
                <w:rFonts w:eastAsia="Arial Narrow" w:cs="Arial Narrow" w:ascii="Arial Narrow" w:hAnsi="Arial Narrow"/>
                <w:sz w:val="20"/>
                <w:szCs w:val="20"/>
              </w:rPr>
              <w:t>Housing      □Hosting dedicado</w:t>
              <w:tab/>
              <w:t>□Hosting compartido</w:t>
            </w:r>
          </w:p>
          <w:p>
            <w:pPr>
              <w:pStyle w:val="Normal1"/>
              <w:ind w:hanging="0" w:left="141"/>
              <w:rPr>
                <w:rFonts w:ascii="Arial Narrow" w:hAnsi="Arial Narrow" w:eastAsia="Arial Narrow" w:cs="Arial Narrow"/>
                <w:sz w:val="20"/>
                <w:szCs w:val="20"/>
              </w:rPr>
            </w:pPr>
            <w:r>
              <w:rPr>
                <w:rFonts w:eastAsia="Arial Narrow" w:cs="Arial Narrow" w:ascii="Arial Narrow" w:hAnsi="Arial Narrow"/>
                <w:sz w:val="20"/>
                <w:szCs w:val="20"/>
              </w:rPr>
              <w:t xml:space="preserve">Marcar en caso de ser un servicio de Cloud Computing </w:t>
            </w:r>
          </w:p>
          <w:p>
            <w:pPr>
              <w:pStyle w:val="Normal1"/>
              <w:tabs>
                <w:tab w:val="clear" w:pos="720"/>
                <w:tab w:val="left" w:pos="132" w:leader="none"/>
              </w:tabs>
              <w:ind w:hanging="283" w:left="566"/>
              <w:jc w:val="both"/>
              <w:rPr>
                <w:rFonts w:ascii="Arial Narrow" w:hAnsi="Arial Narrow" w:eastAsia="Arial Narrow" w:cs="Arial Narrow"/>
                <w:b/>
                <w:bCs/>
                <w:sz w:val="20"/>
                <w:szCs w:val="20"/>
              </w:rPr>
            </w:pPr>
            <w:r>
              <w:rPr>
                <w:rFonts w:eastAsia="Arial Narrow" w:cs="Arial Narrow" w:ascii="Arial Narrow" w:hAnsi="Arial Narrow"/>
                <w:b/>
                <w:bCs/>
                <w:sz w:val="20"/>
                <w:szCs w:val="20"/>
              </w:rPr>
            </w:r>
          </w:p>
        </w:tc>
      </w:tr>
    </w:tbl>
    <w:p>
      <w:pPr>
        <w:pStyle w:val="Normal1"/>
        <w:jc w:val="both"/>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jc w:val="both"/>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jc w:val="both"/>
        <w:rPr>
          <w:rFonts w:ascii="Arial Narrow" w:hAnsi="Arial Narrow" w:eastAsia="Arial Narrow" w:cs="Arial Narrow"/>
          <w:sz w:val="20"/>
          <w:szCs w:val="20"/>
        </w:rPr>
      </w:pPr>
      <w:r>
        <w:rPr>
          <w:rFonts w:eastAsia="Arial Narrow" w:cs="Arial Narrow" w:ascii="Arial Narrow" w:hAnsi="Arial Narrow"/>
          <w:sz w:val="20"/>
          <w:szCs w:val="20"/>
        </w:rPr>
        <w:t>En el caso de que para la prestación del servicio utilizase más servidores que alberguen datos de carácter personal, adjunte documento al presente introduciendo la información aquí requerida.</w:t>
      </w:r>
    </w:p>
    <w:p>
      <w:pPr>
        <w:pStyle w:val="Normal1"/>
        <w:jc w:val="both"/>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jc w:val="both"/>
        <w:rPr>
          <w:rFonts w:ascii="Arial Narrow" w:hAnsi="Arial Narrow" w:eastAsia="Arial Narrow" w:cs="Arial Narrow"/>
          <w:sz w:val="20"/>
          <w:szCs w:val="20"/>
        </w:rPr>
      </w:pPr>
      <w:r>
        <w:rPr>
          <w:rFonts w:eastAsia="Arial Narrow" w:cs="Arial Narrow" w:ascii="Arial Narrow" w:hAnsi="Arial Narrow"/>
          <w:sz w:val="20"/>
          <w:szCs w:val="20"/>
        </w:rPr>
        <w:t>De conformidad con el artículo 122.2.d) de la LCSP, el contratista o adjudicatario tiene la obligación de comunicar cualquier cambio que se produzca a lo largo de la vida del contrato, de la información facilitada en la presente declaración.</w:t>
      </w:r>
    </w:p>
    <w:p>
      <w:pPr>
        <w:pStyle w:val="Normal1"/>
        <w:tabs>
          <w:tab w:val="clear" w:pos="720"/>
          <w:tab w:val="right" w:pos="9458" w:leader="none"/>
        </w:tabs>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tabs>
          <w:tab w:val="clear" w:pos="720"/>
          <w:tab w:val="right" w:pos="9458" w:leader="none"/>
        </w:tabs>
        <w:rPr>
          <w:rFonts w:ascii="Arial Narrow" w:hAnsi="Arial Narrow" w:eastAsia="Arial Narrow" w:cs="Arial Narrow"/>
          <w:sz w:val="20"/>
          <w:szCs w:val="20"/>
        </w:rPr>
      </w:pPr>
      <w:r>
        <w:rPr>
          <w:rFonts w:eastAsia="Arial Narrow" w:cs="Arial Narrow" w:ascii="Arial Narrow" w:hAnsi="Arial Narrow"/>
          <w:sz w:val="20"/>
          <w:szCs w:val="20"/>
        </w:rPr>
        <w:t>Y para que conste a los efectos oportunos firma la presente en …………a…</w:t>
      </w:r>
    </w:p>
    <w:p>
      <w:pPr>
        <w:pStyle w:val="Normal1"/>
        <w:tabs>
          <w:tab w:val="clear" w:pos="720"/>
          <w:tab w:val="right" w:pos="9458" w:leader="none"/>
        </w:tabs>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tabs>
          <w:tab w:val="clear" w:pos="720"/>
          <w:tab w:val="right" w:pos="9458" w:leader="none"/>
        </w:tabs>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tabs>
          <w:tab w:val="clear" w:pos="720"/>
          <w:tab w:val="right" w:pos="9458" w:leader="none"/>
        </w:tabs>
        <w:rPr>
          <w:rFonts w:ascii="Arial Narrow" w:hAnsi="Arial Narrow" w:eastAsia="Arial Narrow" w:cs="Arial Narrow"/>
          <w:sz w:val="20"/>
          <w:szCs w:val="20"/>
        </w:rPr>
      </w:pPr>
      <w:r>
        <w:rPr>
          <w:rFonts w:eastAsia="Arial Narrow" w:cs="Arial Narrow" w:ascii="Arial Narrow" w:hAnsi="Arial Narrow"/>
          <w:sz w:val="20"/>
          <w:szCs w:val="20"/>
        </w:rPr>
        <w:t xml:space="preserve">Firma </w:t>
      </w:r>
    </w:p>
    <w:p>
      <w:pPr>
        <w:pStyle w:val="Normal1"/>
        <w:keepNext w:val="true"/>
        <w:keepLines w:val="false"/>
        <w:pageBreakBefore w:val="false"/>
        <w:widowControl/>
        <w:pBdr/>
        <w:shd w:val="clear" w:fill="auto"/>
        <w:spacing w:lineRule="auto" w:line="259" w:before="240" w:after="60"/>
        <w:ind w:hanging="0" w:left="0" w:right="0"/>
        <w:jc w:val="left"/>
        <w:rPr>
          <w:rFonts w:ascii="Arial Narrow" w:hAnsi="Arial Narrow" w:eastAsia="Arial Narrow" w:cs="Arial Narrow"/>
          <w:b/>
          <w:bCs/>
          <w:i w:val="false"/>
          <w:i w:val="false"/>
          <w:iCs w:val="false"/>
          <w:smallCaps/>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r>
      <w:bookmarkStart w:id="4" w:name="_heading=h.tnms92et8fhq"/>
      <w:bookmarkStart w:id="5" w:name="_heading=h.tnms92et8fhq"/>
      <w:bookmarkEnd w:id="5"/>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keepNext w:val="true"/>
        <w:keepLines w:val="false"/>
        <w:pageBreakBefore w:val="false"/>
        <w:widowControl/>
        <w:pBdr/>
        <w:shd w:val="clear" w:fill="auto"/>
        <w:spacing w:lineRule="auto" w:line="259" w:before="240" w:after="60"/>
        <w:ind w:hanging="0" w:left="0" w:right="0"/>
        <w:jc w:val="center"/>
        <w:rPr>
          <w:rFonts w:ascii="Arial Narrow" w:hAnsi="Arial Narrow" w:eastAsia="Arial Narrow" w:cs="Arial Narrow"/>
          <w:b w:val="false"/>
          <w:bCs w:val="false"/>
          <w:i w:val="false"/>
          <w:i w:val="false"/>
          <w:iCs w:val="false"/>
          <w:smallCaps/>
          <w:strike w:val="false"/>
          <w:dstrike w:val="false"/>
          <w:color w:val="000000"/>
          <w:position w:val="0"/>
          <w:sz w:val="22"/>
          <w:sz w:val="22"/>
          <w:szCs w:val="22"/>
          <w:u w:val="single"/>
          <w:shd w:fill="auto" w:val="clear"/>
          <w:vertAlign w:val="baseline"/>
        </w:rPr>
      </w:pPr>
      <w:bookmarkStart w:id="6" w:name="_heading=h.1baon6m"/>
      <w:bookmarkEnd w:id="6"/>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 xml:space="preserve">ANEXO NÚM. 9: </w:t>
      </w:r>
      <w:r>
        <w:rPr>
          <w:rFonts w:eastAsia="Arial Narrow" w:cs="Arial Narrow" w:ascii="Arial Narrow" w:hAnsi="Arial Narrow"/>
          <w:b/>
          <w:bCs/>
          <w:i w:val="false"/>
          <w:iCs w:val="false"/>
          <w:smallCaps/>
          <w:strike w:val="false"/>
          <w:dstrike w:val="false"/>
          <w:color w:val="000000"/>
          <w:position w:val="0"/>
          <w:sz w:val="22"/>
          <w:sz w:val="22"/>
          <w:szCs w:val="22"/>
          <w:u w:val="none"/>
          <w:shd w:fill="auto" w:val="clear"/>
          <w:vertAlign w:val="baseline"/>
        </w:rPr>
        <w:br/>
      </w:r>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MODELO DE PROPOSICIÓN ECONÓMICA LOTE 1</w:t>
      </w:r>
    </w:p>
    <w:p>
      <w:pPr>
        <w:pStyle w:val="Normal1"/>
        <w:spacing w:lineRule="auto" w:line="259"/>
        <w:jc w:val="center"/>
        <w:rPr>
          <w:rFonts w:ascii="Arial Narrow" w:hAnsi="Arial Narrow" w:eastAsia="Arial Narrow" w:cs="Arial Narrow"/>
          <w:b/>
          <w:bCs/>
          <w:smallCaps/>
          <w:sz w:val="22"/>
          <w:szCs w:val="22"/>
          <w:u w:val="single"/>
        </w:rPr>
      </w:pPr>
      <w:r>
        <w:rPr>
          <w:rFonts w:eastAsia="Arial Narrow" w:cs="Arial Narrow" w:ascii="Arial Narrow" w:hAnsi="Arial Narrow"/>
          <w:b/>
          <w:bCs/>
          <w:smallCaps/>
          <w:sz w:val="22"/>
          <w:szCs w:val="22"/>
          <w:u w:val="single"/>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D./Dª. [●], mayor de edad, vecino/a de [●], calle [●], nº [●], piso [●], puerta [●], provisto/a de DNI nº [●], con plena posesión de su capacidad jurídica y de obrar, actuando en nombre y representación de [●], con sujeción a aquello establecido en el Pliego de Condiciones Generales, en el Pliego de Prescripciones Técnicas, y a todos los anexos correspondientes al Acuerdo Marco de los servicios lectura de contadores para empresas del Grupo VEOLIA (Referencia: 2025_C19_0007), el contenido de los cuales conoce y acepta íntegramente, y con aquello establecido en la documentación técnica de su oferta, para el caso de resultar adjudicataria, se obliga a la realización del servicio adjudicado, según los precios unitarios ofertados a continuación:</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10"/>
        <w:tblW w:w="8400" w:type="dxa"/>
        <w:jc w:val="left"/>
        <w:tblInd w:w="0" w:type="dxa"/>
        <w:tblLayout w:type="fixed"/>
        <w:tblCellMar>
          <w:top w:w="100" w:type="dxa"/>
          <w:left w:w="100" w:type="dxa"/>
          <w:bottom w:w="100" w:type="dxa"/>
          <w:right w:w="100" w:type="dxa"/>
        </w:tblCellMar>
        <w:tblLook w:val="0600"/>
      </w:tblPr>
      <w:tblGrid>
        <w:gridCol w:w="1337"/>
        <w:gridCol w:w="1422"/>
        <w:gridCol w:w="1245"/>
        <w:gridCol w:w="1141"/>
        <w:gridCol w:w="1094"/>
        <w:gridCol w:w="1155"/>
        <w:gridCol w:w="1005"/>
      </w:tblGrid>
      <w:tr>
        <w:trPr>
          <w:trHeight w:val="420" w:hRule="atLeast"/>
        </w:trPr>
        <w:tc>
          <w:tcPr>
            <w:tcW w:w="1337" w:type="dxa"/>
            <w:vMerge w:val="restart"/>
            <w:tcBorders>
              <w:top w:val="single" w:sz="8" w:space="0" w:color="000000"/>
              <w:left w:val="single" w:sz="8" w:space="0" w:color="000000"/>
              <w:bottom w:val="single" w:sz="8" w:space="0" w:color="000000"/>
              <w:right w:val="single" w:sz="8" w:space="0" w:color="000000"/>
            </w:tcBorders>
            <w:shd w:fill="auto" w:val="clear"/>
          </w:tcPr>
          <w:sdt>
            <w:sdtPr>
              <w:id w:val="-770368371"/>
              <w:tag w:val="goog_rdk_1"/>
              <w:lock w:val="contentLocked"/>
            </w:sdtPr>
            <w:sdtContent>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rPr>
                </w:pPr>
                <w:r>
                  <w:rPr>
                    <w:rFonts w:eastAsia="Arial Narrow" w:cs="Arial Narrow" w:ascii="Arial Narrow" w:hAnsi="Arial Narrow"/>
                    <w:sz w:val="22"/>
                    <w:szCs w:val="22"/>
                  </w:rPr>
                  <w:t>Zona</w:t>
                </w:r>
              </w:p>
            </w:sdtContent>
          </w:sdt>
        </w:tc>
        <w:tc>
          <w:tcPr>
            <w:tcW w:w="1422" w:type="dxa"/>
            <w:vMerge w:val="restart"/>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rPr>
            </w:pPr>
            <w:r>
              <w:rPr>
                <w:rFonts w:eastAsia="Arial Narrow" w:cs="Arial Narrow" w:ascii="Arial Narrow" w:hAnsi="Arial Narrow"/>
                <w:sz w:val="22"/>
                <w:szCs w:val="22"/>
              </w:rPr>
              <w:t>NÚM. LECTURAS ESTIMADAS ANUALES</w:t>
            </w:r>
          </w:p>
        </w:tc>
        <w:tc>
          <w:tcPr>
            <w:tcW w:w="1245" w:type="dxa"/>
            <w:vMerge w:val="restart"/>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rPr>
            </w:pPr>
            <w:r>
              <w:rPr>
                <w:rFonts w:eastAsia="Arial Narrow" w:cs="Arial Narrow" w:ascii="Arial Narrow" w:hAnsi="Arial Narrow"/>
                <w:sz w:val="22"/>
                <w:szCs w:val="22"/>
              </w:rPr>
              <w:t>Precio Unitario MÁX</w:t>
            </w:r>
          </w:p>
        </w:tc>
        <w:tc>
          <w:tcPr>
            <w:tcW w:w="4395" w:type="dxa"/>
            <w:gridSpan w:val="4"/>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b/>
                <w:bCs/>
                <w:sz w:val="22"/>
                <w:szCs w:val="22"/>
              </w:rPr>
            </w:pPr>
            <w:r>
              <w:rPr>
                <w:rFonts w:eastAsia="Arial Narrow" w:cs="Arial Narrow" w:ascii="Arial Narrow" w:hAnsi="Arial Narrow"/>
                <w:b/>
                <w:bCs/>
                <w:sz w:val="22"/>
                <w:szCs w:val="22"/>
              </w:rPr>
              <w:t xml:space="preserve">PRECIO UNITARIO OFERTADO </w:t>
            </w:r>
          </w:p>
        </w:tc>
      </w:tr>
      <w:tr>
        <w:trPr>
          <w:trHeight w:val="420" w:hRule="atLeast"/>
        </w:trPr>
        <w:tc>
          <w:tcPr>
            <w:tcW w:w="1337" w:type="dxa"/>
            <w:vMerge w:val="continue"/>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shd w:fill="A4C2F4" w:val="clear"/>
              </w:rPr>
            </w:pPr>
            <w:r>
              <w:rPr>
                <w:rFonts w:eastAsia="Arial Narrow" w:cs="Arial Narrow" w:ascii="Arial Narrow" w:hAnsi="Arial Narrow"/>
                <w:sz w:val="22"/>
                <w:szCs w:val="22"/>
                <w:shd w:fill="A4C2F4" w:val="clear"/>
              </w:rPr>
            </w:r>
          </w:p>
        </w:tc>
        <w:tc>
          <w:tcPr>
            <w:tcW w:w="1422" w:type="dxa"/>
            <w:vMerge w:val="continue"/>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shd w:fill="A4C2F4" w:val="clear"/>
              </w:rPr>
            </w:pPr>
            <w:r>
              <w:rPr>
                <w:rFonts w:eastAsia="Arial Narrow" w:cs="Arial Narrow" w:ascii="Arial Narrow" w:hAnsi="Arial Narrow"/>
                <w:sz w:val="22"/>
                <w:szCs w:val="22"/>
                <w:shd w:fill="A4C2F4" w:val="clear"/>
              </w:rPr>
            </w:r>
          </w:p>
        </w:tc>
        <w:tc>
          <w:tcPr>
            <w:tcW w:w="1245" w:type="dxa"/>
            <w:vMerge w:val="continue"/>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shd w:fill="A4C2F4" w:val="clear"/>
              </w:rPr>
            </w:pPr>
            <w:r>
              <w:rPr>
                <w:rFonts w:eastAsia="Arial Narrow" w:cs="Arial Narrow" w:ascii="Arial Narrow" w:hAnsi="Arial Narrow"/>
                <w:sz w:val="22"/>
                <w:szCs w:val="22"/>
                <w:shd w:fill="A4C2F4" w:val="clear"/>
              </w:rPr>
            </w:r>
          </w:p>
        </w:tc>
        <w:tc>
          <w:tcPr>
            <w:tcW w:w="1141"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rPr>
            </w:pPr>
            <w:r>
              <w:rPr>
                <w:rFonts w:eastAsia="Arial Narrow" w:cs="Arial Narrow" w:ascii="Arial Narrow" w:hAnsi="Arial Narrow"/>
                <w:sz w:val="22"/>
                <w:szCs w:val="22"/>
              </w:rPr>
              <w:t>2026</w:t>
            </w:r>
          </w:p>
        </w:tc>
        <w:tc>
          <w:tcPr>
            <w:tcW w:w="1094"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rPr>
            </w:pPr>
            <w:r>
              <w:rPr>
                <w:rFonts w:eastAsia="Arial Narrow" w:cs="Arial Narrow" w:ascii="Arial Narrow" w:hAnsi="Arial Narrow"/>
                <w:sz w:val="22"/>
                <w:szCs w:val="22"/>
              </w:rPr>
              <w:t>2027</w:t>
            </w:r>
          </w:p>
        </w:tc>
        <w:tc>
          <w:tcPr>
            <w:tcW w:w="1155"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rPr>
            </w:pPr>
            <w:r>
              <w:rPr>
                <w:rFonts w:eastAsia="Arial Narrow" w:cs="Arial Narrow" w:ascii="Arial Narrow" w:hAnsi="Arial Narrow"/>
                <w:sz w:val="22"/>
                <w:szCs w:val="22"/>
              </w:rPr>
              <w:t>2028</w:t>
            </w:r>
          </w:p>
        </w:tc>
        <w:tc>
          <w:tcPr>
            <w:tcW w:w="1005"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rPr>
            </w:pPr>
            <w:r>
              <w:rPr>
                <w:rFonts w:eastAsia="Arial Narrow" w:cs="Arial Narrow" w:ascii="Arial Narrow" w:hAnsi="Arial Narrow"/>
                <w:sz w:val="22"/>
                <w:szCs w:val="22"/>
              </w:rPr>
              <w:t>2029</w:t>
            </w:r>
          </w:p>
        </w:tc>
      </w:tr>
      <w:tr>
        <w:trPr/>
        <w:tc>
          <w:tcPr>
            <w:tcW w:w="133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rPr>
            </w:pPr>
            <w:r>
              <w:rPr>
                <w:rFonts w:eastAsia="Arial Narrow" w:cs="Arial Narrow" w:ascii="Arial Narrow" w:hAnsi="Arial Narrow"/>
                <w:sz w:val="22"/>
                <w:szCs w:val="22"/>
              </w:rPr>
              <w:t>Castilla La Mancha</w:t>
            </w:r>
          </w:p>
        </w:tc>
        <w:tc>
          <w:tcPr>
            <w:tcW w:w="1422"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rPr>
            </w:pPr>
            <w:r>
              <w:rPr>
                <w:rFonts w:eastAsia="Arial Narrow" w:cs="Arial Narrow" w:ascii="Arial Narrow" w:hAnsi="Arial Narrow"/>
                <w:sz w:val="22"/>
                <w:szCs w:val="22"/>
              </w:rPr>
              <w:t>595.862</w:t>
            </w:r>
          </w:p>
        </w:tc>
        <w:tc>
          <w:tcPr>
            <w:tcW w:w="1245"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0,6000€</w:t>
            </w:r>
          </w:p>
        </w:tc>
        <w:tc>
          <w:tcPr>
            <w:tcW w:w="1141"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094"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55"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005"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pBdr/>
              <w:shd w:val="clear" w:fill="auto"/>
              <w:spacing w:lineRule="auto" w:line="240" w:before="0" w:after="0"/>
              <w:ind w:hanging="0" w:left="0" w:right="0"/>
              <w:jc w:val="center"/>
              <w:rPr>
                <w:rFonts w:ascii="Arial Narrow" w:hAnsi="Arial Narrow" w:eastAsia="Arial Narrow" w:cs="Arial Narrow"/>
                <w:sz w:val="22"/>
                <w:szCs w:val="22"/>
              </w:rPr>
            </w:pPr>
            <w:r>
              <w:rPr>
                <w:rFonts w:eastAsia="Arial Narrow" w:cs="Arial Narrow" w:ascii="Arial Narrow" w:hAnsi="Arial Narrow"/>
                <w:sz w:val="22"/>
                <w:szCs w:val="22"/>
              </w:rPr>
            </w:r>
          </w:p>
        </w:tc>
      </w:tr>
    </w:tbl>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La presente proposición económica tiene una vigencia de CIENTO VEINTE (120) días. </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Y a los efectos oportunos, firma la presente, en [●], [●] de [●] de 202[●].</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Firma: [●] </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i/>
          <w:i/>
          <w:iCs/>
          <w:sz w:val="22"/>
          <w:szCs w:val="22"/>
        </w:rPr>
      </w:pPr>
      <w:r>
        <w:rPr>
          <w:rFonts w:eastAsia="Arial Narrow" w:cs="Arial Narrow" w:ascii="Arial Narrow" w:hAnsi="Arial Narrow"/>
          <w:i/>
          <w:iCs/>
          <w:sz w:val="22"/>
          <w:szCs w:val="22"/>
        </w:rPr>
        <w:t>(Quedarán excluidas del presente procedimiento aquellas ofertas que no se ajusten al formato del presente anexo, sean incompletas, anómalas, contengan subsanaciones, errores y/u omisiones, que no permitan conocer claramente las condiciones para valorar la oferta o induzcan a error. Así mismo, quedarán excluidos del procedimiento de adjudicación aquellos operadores económicos la oferta económica de los cuales supere el presupuesto máximo de licitación).</w:t>
      </w:r>
    </w:p>
    <w:p>
      <w:pPr>
        <w:pStyle w:val="Normal1"/>
        <w:widowControl/>
        <w:spacing w:lineRule="auto" w:line="259" w:before="0" w:after="160"/>
        <w:rPr>
          <w:rFonts w:ascii="Arial Narrow" w:hAnsi="Arial Narrow" w:eastAsia="Arial Narrow" w:cs="Arial Narrow"/>
          <w:i/>
          <w:i/>
          <w:iCs/>
          <w:sz w:val="22"/>
          <w:szCs w:val="22"/>
        </w:rPr>
      </w:pPr>
      <w:r>
        <w:rPr>
          <w:rFonts w:eastAsia="Arial Narrow" w:cs="Arial Narrow" w:ascii="Arial Narrow" w:hAnsi="Arial Narrow"/>
          <w:i/>
          <w:iCs/>
          <w:sz w:val="22"/>
          <w:szCs w:val="22"/>
        </w:rPr>
      </w:r>
      <w:r>
        <w:br w:type="page"/>
      </w:r>
    </w:p>
    <w:p>
      <w:pPr>
        <w:pStyle w:val="Normal1"/>
        <w:widowControl/>
        <w:spacing w:lineRule="auto" w:line="259" w:before="0" w:after="160"/>
        <w:rPr>
          <w:rFonts w:ascii="Arial Narrow" w:hAnsi="Arial Narrow" w:eastAsia="Arial Narrow" w:cs="Arial Narrow"/>
          <w:i/>
          <w:i/>
          <w:iCs/>
          <w:sz w:val="22"/>
          <w:szCs w:val="22"/>
        </w:rPr>
      </w:pPr>
      <w:r>
        <w:rPr>
          <w:rFonts w:eastAsia="Arial Narrow" w:cs="Arial Narrow" w:ascii="Arial Narrow" w:hAnsi="Arial Narrow"/>
          <w:i/>
          <w:iCs/>
          <w:sz w:val="22"/>
          <w:szCs w:val="22"/>
        </w:rPr>
      </w:r>
    </w:p>
    <w:p>
      <w:pPr>
        <w:pStyle w:val="Normal1"/>
        <w:keepNext w:val="true"/>
        <w:keepLines w:val="false"/>
        <w:pageBreakBefore w:val="false"/>
        <w:widowControl/>
        <w:pBdr/>
        <w:shd w:val="clear" w:fill="auto"/>
        <w:spacing w:lineRule="auto" w:line="259" w:before="240" w:after="60"/>
        <w:ind w:hanging="0" w:left="0" w:right="0"/>
        <w:jc w:val="center"/>
        <w:rPr>
          <w:rFonts w:ascii="Arial Narrow" w:hAnsi="Arial Narrow" w:eastAsia="Arial Narrow" w:cs="Arial Narrow"/>
          <w:b w:val="false"/>
          <w:bCs w:val="false"/>
          <w:i w:val="false"/>
          <w:i w:val="false"/>
          <w:iCs w:val="false"/>
          <w:smallCaps/>
          <w:strike w:val="false"/>
          <w:dstrike w:val="false"/>
          <w:color w:val="000000"/>
          <w:position w:val="0"/>
          <w:sz w:val="22"/>
          <w:sz w:val="22"/>
          <w:szCs w:val="22"/>
          <w:u w:val="single"/>
          <w:shd w:fill="auto" w:val="clear"/>
          <w:vertAlign w:val="baseline"/>
        </w:rPr>
      </w:pPr>
      <w:bookmarkStart w:id="7" w:name="_heading=h.3vac5uf"/>
      <w:bookmarkEnd w:id="7"/>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ANEXO NÚM. 10: MODELO DE PROPOSICIÓN ECONÓMICA LOTE 2</w:t>
      </w:r>
    </w:p>
    <w:p>
      <w:pPr>
        <w:pStyle w:val="Normal1"/>
        <w:spacing w:lineRule="auto" w:line="259"/>
        <w:jc w:val="center"/>
        <w:rPr>
          <w:rFonts w:ascii="Arial Narrow" w:hAnsi="Arial Narrow" w:eastAsia="Arial Narrow" w:cs="Arial Narrow"/>
          <w:b/>
          <w:bCs/>
          <w:smallCaps/>
          <w:sz w:val="22"/>
          <w:szCs w:val="22"/>
          <w:u w:val="single"/>
        </w:rPr>
      </w:pPr>
      <w:r>
        <w:rPr>
          <w:rFonts w:eastAsia="Arial Narrow" w:cs="Arial Narrow" w:ascii="Arial Narrow" w:hAnsi="Arial Narrow"/>
          <w:b/>
          <w:bCs/>
          <w:smallCaps/>
          <w:sz w:val="22"/>
          <w:szCs w:val="22"/>
          <w:u w:val="single"/>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D./Dª. [●], mayor de edad, vecino/a de [●], calle [●], nº [●], piso [●], puerta [●], provisto/a de DNI nº [●], con plena posesión de su capacidad jurídica y de obrar, actuando en nombre y representación de [●], con sujeción a aquello establecido en el Pliego de Condiciones Generales, en el Pliego de Prescripciones Técnicas, y a todos los anexos correspondientes al Acuerdo Marco  de los servicios lectura de contadores para empresas del Grupo VEOLIA (Referencia: 2025_C19_0007), el contenido de los cuales conoce y acepta íntegramente, y con aquello establecido en la documentación técnica de su oferta, para el caso de resultar adjudicataria, se obliga a la realización del servicio adjudicado, según los precios unitarios ofertados a continuación:</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11"/>
        <w:tblW w:w="8400" w:type="dxa"/>
        <w:jc w:val="left"/>
        <w:tblInd w:w="0" w:type="dxa"/>
        <w:tblLayout w:type="fixed"/>
        <w:tblCellMar>
          <w:top w:w="100" w:type="dxa"/>
          <w:left w:w="100" w:type="dxa"/>
          <w:bottom w:w="100" w:type="dxa"/>
          <w:right w:w="100" w:type="dxa"/>
        </w:tblCellMar>
        <w:tblLook w:val="0600"/>
      </w:tblPr>
      <w:tblGrid>
        <w:gridCol w:w="1200"/>
        <w:gridCol w:w="1395"/>
        <w:gridCol w:w="1245"/>
        <w:gridCol w:w="1200"/>
        <w:gridCol w:w="1110"/>
        <w:gridCol w:w="1149"/>
        <w:gridCol w:w="1100"/>
      </w:tblGrid>
      <w:tr>
        <w:trPr>
          <w:trHeight w:val="420" w:hRule="atLeast"/>
        </w:trPr>
        <w:tc>
          <w:tcPr>
            <w:tcW w:w="1200" w:type="dxa"/>
            <w:vMerge w:val="restart"/>
            <w:tcBorders>
              <w:top w:val="single" w:sz="8" w:space="0" w:color="000000"/>
              <w:left w:val="single" w:sz="8" w:space="0" w:color="000000"/>
              <w:bottom w:val="single" w:sz="8" w:space="0" w:color="000000"/>
              <w:right w:val="single" w:sz="8" w:space="0" w:color="000000"/>
            </w:tcBorders>
            <w:shd w:fill="auto" w:val="clear"/>
          </w:tcPr>
          <w:sdt>
            <w:sdtPr>
              <w:id w:val="1026420988"/>
              <w:tag w:val="goog_rdk_2"/>
              <w:lock w:val="contentLocked"/>
            </w:sdtPr>
            <w:sdtContent>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Zona</w:t>
                </w:r>
              </w:p>
            </w:sdtContent>
          </w:sdt>
        </w:tc>
        <w:tc>
          <w:tcPr>
            <w:tcW w:w="1395" w:type="dxa"/>
            <w:vMerge w:val="restart"/>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NÚM. LECTURAS ESTIMADAS ANUALES</w:t>
            </w:r>
          </w:p>
        </w:tc>
        <w:tc>
          <w:tcPr>
            <w:tcW w:w="1245" w:type="dxa"/>
            <w:vMerge w:val="restart"/>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Precio Unitario MÁX</w:t>
            </w:r>
          </w:p>
        </w:tc>
        <w:tc>
          <w:tcPr>
            <w:tcW w:w="4559" w:type="dxa"/>
            <w:gridSpan w:val="4"/>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b/>
                <w:bCs/>
                <w:sz w:val="22"/>
                <w:szCs w:val="22"/>
              </w:rPr>
            </w:pPr>
            <w:r>
              <w:rPr>
                <w:rFonts w:eastAsia="Arial Narrow" w:cs="Arial Narrow" w:ascii="Arial Narrow" w:hAnsi="Arial Narrow"/>
                <w:b/>
                <w:bCs/>
                <w:sz w:val="22"/>
                <w:szCs w:val="22"/>
              </w:rPr>
              <w:t>PRECIO UNITARIO OFERTADO</w:t>
            </w:r>
          </w:p>
        </w:tc>
      </w:tr>
      <w:tr>
        <w:trPr>
          <w:trHeight w:val="420" w:hRule="atLeast"/>
        </w:trPr>
        <w:tc>
          <w:tcPr>
            <w:tcW w:w="1200" w:type="dxa"/>
            <w:vMerge w:val="continue"/>
            <w:tcBorders>
              <w:top w:val="single" w:sz="8" w:space="0" w:color="000000"/>
              <w:left w:val="single" w:sz="8" w:space="0" w:color="000000"/>
              <w:bottom w:val="single" w:sz="8" w:space="0" w:color="000000"/>
              <w:right w:val="single" w:sz="8" w:space="0" w:color="000000"/>
            </w:tcBorders>
            <w:shd w:fill="auto" w:val="clear"/>
          </w:tcPr>
          <w:p>
            <w:pPr>
              <w:pStyle w:val="Normal1"/>
              <w:spacing w:lineRule="auto" w:line="240" w:before="0" w:after="0"/>
              <w:ind w:hanging="0" w:left="0"/>
              <w:jc w:val="center"/>
              <w:rPr>
                <w:rFonts w:ascii="Arial" w:hAnsi="Arial" w:eastAsia="Arial" w:cs="Arial"/>
                <w:sz w:val="20"/>
                <w:szCs w:val="20"/>
                <w:shd w:fill="A4C2F4" w:val="clear"/>
              </w:rPr>
            </w:pPr>
            <w:r>
              <w:rPr>
                <w:rFonts w:eastAsia="Arial" w:cs="Arial" w:ascii="Arial" w:hAnsi="Arial"/>
                <w:sz w:val="20"/>
                <w:szCs w:val="20"/>
                <w:shd w:fill="A4C2F4" w:val="clear"/>
              </w:rPr>
            </w:r>
          </w:p>
        </w:tc>
        <w:tc>
          <w:tcPr>
            <w:tcW w:w="1395" w:type="dxa"/>
            <w:vMerge w:val="continue"/>
            <w:tcBorders>
              <w:top w:val="single" w:sz="8" w:space="0" w:color="000000"/>
              <w:left w:val="single" w:sz="8" w:space="0" w:color="000000"/>
              <w:bottom w:val="single" w:sz="8" w:space="0" w:color="000000"/>
              <w:right w:val="single" w:sz="8" w:space="0" w:color="000000"/>
            </w:tcBorders>
            <w:shd w:fill="auto" w:val="clear"/>
          </w:tcPr>
          <w:p>
            <w:pPr>
              <w:pStyle w:val="Normal1"/>
              <w:spacing w:lineRule="auto" w:line="240" w:before="0" w:after="0"/>
              <w:ind w:hanging="0" w:left="0"/>
              <w:jc w:val="center"/>
              <w:rPr>
                <w:rFonts w:ascii="Arial" w:hAnsi="Arial" w:eastAsia="Arial" w:cs="Arial"/>
                <w:sz w:val="20"/>
                <w:szCs w:val="20"/>
                <w:shd w:fill="A4C2F4" w:val="clear"/>
              </w:rPr>
            </w:pPr>
            <w:r>
              <w:rPr>
                <w:rFonts w:eastAsia="Arial" w:cs="Arial" w:ascii="Arial" w:hAnsi="Arial"/>
                <w:sz w:val="20"/>
                <w:szCs w:val="20"/>
                <w:shd w:fill="A4C2F4" w:val="clear"/>
              </w:rPr>
            </w:r>
          </w:p>
        </w:tc>
        <w:tc>
          <w:tcPr>
            <w:tcW w:w="1245" w:type="dxa"/>
            <w:vMerge w:val="continue"/>
            <w:tcBorders>
              <w:top w:val="single" w:sz="8" w:space="0" w:color="000000"/>
              <w:left w:val="single" w:sz="8" w:space="0" w:color="000000"/>
              <w:bottom w:val="single" w:sz="8" w:space="0" w:color="000000"/>
              <w:right w:val="single" w:sz="8" w:space="0" w:color="000000"/>
            </w:tcBorders>
            <w:shd w:fill="auto" w:val="clear"/>
          </w:tcPr>
          <w:p>
            <w:pPr>
              <w:pStyle w:val="Normal1"/>
              <w:spacing w:lineRule="auto" w:line="240" w:before="0" w:after="0"/>
              <w:ind w:hanging="0" w:left="0"/>
              <w:jc w:val="center"/>
              <w:rPr>
                <w:rFonts w:ascii="Arial Narrow" w:hAnsi="Arial Narrow" w:eastAsia="Arial Narrow" w:cs="Arial Narrow"/>
                <w:sz w:val="22"/>
                <w:szCs w:val="22"/>
                <w:shd w:fill="FFE599" w:val="clear"/>
              </w:rPr>
            </w:pPr>
            <w:r>
              <w:rPr>
                <w:rFonts w:eastAsia="Arial Narrow" w:cs="Arial Narrow" w:ascii="Arial Narrow" w:hAnsi="Arial Narrow"/>
                <w:sz w:val="22"/>
                <w:szCs w:val="22"/>
                <w:shd w:fill="FFE599" w:val="clear"/>
              </w:rPr>
            </w:r>
          </w:p>
        </w:tc>
        <w:tc>
          <w:tcPr>
            <w:tcW w:w="120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2026</w:t>
            </w:r>
          </w:p>
        </w:tc>
        <w:tc>
          <w:tcPr>
            <w:tcW w:w="111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2027</w:t>
            </w:r>
          </w:p>
        </w:tc>
        <w:tc>
          <w:tcPr>
            <w:tcW w:w="1149"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2028</w:t>
            </w:r>
          </w:p>
        </w:tc>
        <w:tc>
          <w:tcPr>
            <w:tcW w:w="110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2029</w:t>
            </w:r>
          </w:p>
        </w:tc>
      </w:tr>
      <w:tr>
        <w:trPr/>
        <w:tc>
          <w:tcPr>
            <w:tcW w:w="120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Castilla y León</w:t>
            </w:r>
          </w:p>
        </w:tc>
        <w:tc>
          <w:tcPr>
            <w:tcW w:w="1395"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949.202</w:t>
            </w:r>
          </w:p>
        </w:tc>
        <w:tc>
          <w:tcPr>
            <w:tcW w:w="1245"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0,6000€</w:t>
            </w:r>
          </w:p>
        </w:tc>
        <w:tc>
          <w:tcPr>
            <w:tcW w:w="120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1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49"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0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r>
    </w:tbl>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La presente proposición económica tiene una vigencia de CIENTO VEINTE (120) días. </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Y a los efectos oportunos, firma la presente, en [●], [●] de [●] de 202[●].</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Firma: [●] </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i/>
          <w:i/>
          <w:iCs/>
          <w:sz w:val="22"/>
          <w:szCs w:val="22"/>
        </w:rPr>
      </w:pPr>
      <w:r>
        <w:rPr>
          <w:rFonts w:eastAsia="Arial Narrow" w:cs="Arial Narrow" w:ascii="Arial Narrow" w:hAnsi="Arial Narrow"/>
          <w:i/>
          <w:iCs/>
          <w:sz w:val="22"/>
          <w:szCs w:val="22"/>
        </w:rPr>
        <w:t>(Quedarán excluidas del presente procedimiento aquellas ofertas que no se ajusten al formato del presente anexo, sean incompletas, anómalas, contengan subsanaciones, errores y/u omisiones, que no permitan conocer claramente las condiciones para valorar la oferta o induzcan a error. Así mismo, quedarán excluidos del procedimiento de adjudicación aquellos operadores económicos la oferta económica de los cuales supere el presupuesto máximo de licitación).</w:t>
      </w:r>
      <w:r>
        <w:br w:type="page"/>
      </w:r>
    </w:p>
    <w:p>
      <w:pPr>
        <w:pStyle w:val="Normal1"/>
        <w:keepNext w:val="true"/>
        <w:widowControl/>
        <w:spacing w:lineRule="auto" w:line="259" w:before="0" w:after="60"/>
        <w:jc w:val="center"/>
        <w:rPr>
          <w:rFonts w:ascii="Arial Narrow" w:hAnsi="Arial Narrow" w:eastAsia="Arial Narrow" w:cs="Arial Narrow"/>
          <w:smallCaps/>
          <w:sz w:val="22"/>
          <w:szCs w:val="22"/>
          <w:u w:val="single"/>
        </w:rPr>
      </w:pPr>
      <w:bookmarkStart w:id="8" w:name="_heading=h.3vac5uf_Copia_1"/>
      <w:bookmarkEnd w:id="8"/>
      <w:r>
        <w:rPr>
          <w:rFonts w:eastAsia="Arial Narrow" w:cs="Arial Narrow" w:ascii="Arial Narrow" w:hAnsi="Arial Narrow"/>
          <w:b/>
          <w:bCs/>
          <w:smallCaps/>
          <w:sz w:val="22"/>
          <w:szCs w:val="22"/>
          <w:u w:val="single"/>
        </w:rPr>
        <w:t>ANEXO NÚM. 11: MODELO DE PROPOSICIÓN ECONÓMICA LOTE 3</w:t>
      </w:r>
    </w:p>
    <w:p>
      <w:pPr>
        <w:pStyle w:val="Normal1"/>
        <w:spacing w:lineRule="auto" w:line="259"/>
        <w:jc w:val="center"/>
        <w:rPr>
          <w:rFonts w:ascii="Arial Narrow" w:hAnsi="Arial Narrow" w:eastAsia="Arial Narrow" w:cs="Arial Narrow"/>
          <w:b/>
          <w:bCs/>
          <w:smallCaps/>
          <w:sz w:val="22"/>
          <w:szCs w:val="22"/>
          <w:u w:val="single"/>
        </w:rPr>
      </w:pPr>
      <w:r>
        <w:rPr>
          <w:rFonts w:eastAsia="Arial Narrow" w:cs="Arial Narrow" w:ascii="Arial Narrow" w:hAnsi="Arial Narrow"/>
          <w:b/>
          <w:bCs/>
          <w:smallCaps/>
          <w:sz w:val="22"/>
          <w:szCs w:val="22"/>
          <w:u w:val="single"/>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D./Dª. [●], mayor de edad, vecino/a de [●], calle [●], nº [●], piso [●], puerta [●], provisto/a de DNI nº [●], con plena posesión de su capacidad jurídica y de obrar, actuando en nombre y representación de [●], con sujeción a aquello establecido en el Pliego de Condiciones Generales, en el Pliego de Prescripciones Técnicas, y a todos los anexos correspondientes al Acuerdo Marco  de los servicios lectura de contadores para empresas del Grupo VEOLIA (Referencia: 2025_C19_0007), el contenido de los cuales conoce y acepta íntegramente, y con aquello establecido en la documentación técnica de su oferta, para el caso de resultar adjudicataria, se obliga a la realización del servicio adjudicado, según los precios unitarios ofertados a continuación:</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12"/>
        <w:tblW w:w="8400" w:type="dxa"/>
        <w:jc w:val="left"/>
        <w:tblInd w:w="0" w:type="dxa"/>
        <w:tblLayout w:type="fixed"/>
        <w:tblCellMar>
          <w:top w:w="100" w:type="dxa"/>
          <w:left w:w="100" w:type="dxa"/>
          <w:bottom w:w="100" w:type="dxa"/>
          <w:right w:w="100" w:type="dxa"/>
        </w:tblCellMar>
        <w:tblLook w:val="0600"/>
      </w:tblPr>
      <w:tblGrid>
        <w:gridCol w:w="1200"/>
        <w:gridCol w:w="1470"/>
        <w:gridCol w:w="1230"/>
        <w:gridCol w:w="1164"/>
        <w:gridCol w:w="1070"/>
        <w:gridCol w:w="1126"/>
        <w:gridCol w:w="1139"/>
      </w:tblGrid>
      <w:tr>
        <w:trPr>
          <w:trHeight w:val="420" w:hRule="atLeast"/>
        </w:trPr>
        <w:tc>
          <w:tcPr>
            <w:tcW w:w="1200" w:type="dxa"/>
            <w:vMerge w:val="restart"/>
            <w:tcBorders>
              <w:top w:val="single" w:sz="8" w:space="0" w:color="000000"/>
              <w:left w:val="single" w:sz="8" w:space="0" w:color="000000"/>
              <w:bottom w:val="single" w:sz="8" w:space="0" w:color="000000"/>
              <w:right w:val="single" w:sz="8" w:space="0" w:color="000000"/>
            </w:tcBorders>
            <w:shd w:fill="auto" w:val="clear"/>
          </w:tcPr>
          <w:sdt>
            <w:sdtPr>
              <w:id w:val="-1256717111"/>
              <w:tag w:val="goog_rdk_3"/>
              <w:lock w:val="contentLocked"/>
            </w:sdtPr>
            <w:sdtContent>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Zona</w:t>
                </w:r>
              </w:p>
            </w:sdtContent>
          </w:sdt>
        </w:tc>
        <w:tc>
          <w:tcPr>
            <w:tcW w:w="1470" w:type="dxa"/>
            <w:vMerge w:val="restart"/>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NÚM. LECTURAS ESTIMADAS ANUALES</w:t>
            </w:r>
          </w:p>
        </w:tc>
        <w:tc>
          <w:tcPr>
            <w:tcW w:w="1230" w:type="dxa"/>
            <w:vMerge w:val="restart"/>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Precio Unitario MÁX</w:t>
            </w:r>
          </w:p>
        </w:tc>
        <w:tc>
          <w:tcPr>
            <w:tcW w:w="4499" w:type="dxa"/>
            <w:gridSpan w:val="4"/>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b/>
                <w:bCs/>
                <w:sz w:val="22"/>
                <w:szCs w:val="22"/>
              </w:rPr>
            </w:pPr>
            <w:r>
              <w:rPr>
                <w:rFonts w:eastAsia="Arial Narrow" w:cs="Arial Narrow" w:ascii="Arial Narrow" w:hAnsi="Arial Narrow"/>
                <w:b/>
                <w:bCs/>
                <w:sz w:val="22"/>
                <w:szCs w:val="22"/>
              </w:rPr>
              <w:t>PRECIO UNITARIO OFERTADO</w:t>
            </w:r>
          </w:p>
        </w:tc>
      </w:tr>
      <w:tr>
        <w:trPr>
          <w:trHeight w:val="420" w:hRule="atLeast"/>
        </w:trPr>
        <w:tc>
          <w:tcPr>
            <w:tcW w:w="1200" w:type="dxa"/>
            <w:vMerge w:val="continue"/>
            <w:tcBorders>
              <w:top w:val="single" w:sz="8" w:space="0" w:color="000000"/>
              <w:left w:val="single" w:sz="8" w:space="0" w:color="000000"/>
              <w:bottom w:val="single" w:sz="8" w:space="0" w:color="000000"/>
              <w:right w:val="single" w:sz="8" w:space="0" w:color="000000"/>
            </w:tcBorders>
            <w:shd w:fill="auto" w:val="clear"/>
          </w:tcPr>
          <w:p>
            <w:pPr>
              <w:pStyle w:val="Normal1"/>
              <w:spacing w:lineRule="auto" w:line="240" w:before="0" w:after="0"/>
              <w:ind w:hanging="0" w:left="0"/>
              <w:jc w:val="center"/>
              <w:rPr>
                <w:rFonts w:ascii="Arial" w:hAnsi="Arial" w:eastAsia="Arial" w:cs="Arial"/>
                <w:sz w:val="20"/>
                <w:szCs w:val="20"/>
                <w:shd w:fill="A4C2F4" w:val="clear"/>
              </w:rPr>
            </w:pPr>
            <w:r>
              <w:rPr>
                <w:rFonts w:eastAsia="Arial" w:cs="Arial" w:ascii="Arial" w:hAnsi="Arial"/>
                <w:sz w:val="20"/>
                <w:szCs w:val="20"/>
                <w:shd w:fill="A4C2F4" w:val="clear"/>
              </w:rPr>
            </w:r>
          </w:p>
        </w:tc>
        <w:tc>
          <w:tcPr>
            <w:tcW w:w="1470" w:type="dxa"/>
            <w:vMerge w:val="continue"/>
            <w:tcBorders>
              <w:top w:val="single" w:sz="8" w:space="0" w:color="000000"/>
              <w:left w:val="single" w:sz="8" w:space="0" w:color="000000"/>
              <w:bottom w:val="single" w:sz="8" w:space="0" w:color="000000"/>
              <w:right w:val="single" w:sz="8" w:space="0" w:color="000000"/>
            </w:tcBorders>
            <w:shd w:fill="auto" w:val="clear"/>
          </w:tcPr>
          <w:p>
            <w:pPr>
              <w:pStyle w:val="Normal1"/>
              <w:spacing w:lineRule="auto" w:line="240" w:before="0" w:after="0"/>
              <w:ind w:hanging="0" w:left="0"/>
              <w:jc w:val="center"/>
              <w:rPr>
                <w:rFonts w:ascii="Arial" w:hAnsi="Arial" w:eastAsia="Arial" w:cs="Arial"/>
                <w:sz w:val="20"/>
                <w:szCs w:val="20"/>
                <w:shd w:fill="A4C2F4" w:val="clear"/>
              </w:rPr>
            </w:pPr>
            <w:r>
              <w:rPr>
                <w:rFonts w:eastAsia="Arial" w:cs="Arial" w:ascii="Arial" w:hAnsi="Arial"/>
                <w:sz w:val="20"/>
                <w:szCs w:val="20"/>
                <w:shd w:fill="A4C2F4" w:val="clear"/>
              </w:rPr>
            </w:r>
          </w:p>
        </w:tc>
        <w:tc>
          <w:tcPr>
            <w:tcW w:w="1230" w:type="dxa"/>
            <w:vMerge w:val="continue"/>
            <w:tcBorders>
              <w:top w:val="single" w:sz="8" w:space="0" w:color="000000"/>
              <w:left w:val="single" w:sz="8" w:space="0" w:color="000000"/>
              <w:bottom w:val="single" w:sz="8" w:space="0" w:color="000000"/>
              <w:right w:val="single" w:sz="8" w:space="0" w:color="000000"/>
            </w:tcBorders>
            <w:shd w:fill="auto" w:val="clear"/>
          </w:tcPr>
          <w:p>
            <w:pPr>
              <w:pStyle w:val="Normal1"/>
              <w:spacing w:lineRule="auto" w:line="240" w:before="0" w:after="0"/>
              <w:ind w:hanging="0" w:left="0"/>
              <w:jc w:val="center"/>
              <w:rPr>
                <w:rFonts w:ascii="Arial Narrow" w:hAnsi="Arial Narrow" w:eastAsia="Arial Narrow" w:cs="Arial Narrow"/>
                <w:sz w:val="22"/>
                <w:szCs w:val="22"/>
                <w:shd w:fill="A4C2F4" w:val="clear"/>
              </w:rPr>
            </w:pPr>
            <w:r>
              <w:rPr>
                <w:rFonts w:eastAsia="Arial Narrow" w:cs="Arial Narrow" w:ascii="Arial Narrow" w:hAnsi="Arial Narrow"/>
                <w:sz w:val="22"/>
                <w:szCs w:val="22"/>
                <w:shd w:fill="A4C2F4" w:val="clear"/>
              </w:rPr>
            </w:r>
          </w:p>
        </w:tc>
        <w:tc>
          <w:tcPr>
            <w:tcW w:w="1164"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2026</w:t>
            </w:r>
          </w:p>
        </w:tc>
        <w:tc>
          <w:tcPr>
            <w:tcW w:w="107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2027</w:t>
            </w:r>
          </w:p>
        </w:tc>
        <w:tc>
          <w:tcPr>
            <w:tcW w:w="1126"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2028</w:t>
            </w:r>
          </w:p>
        </w:tc>
        <w:tc>
          <w:tcPr>
            <w:tcW w:w="1139"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2029</w:t>
            </w:r>
          </w:p>
        </w:tc>
      </w:tr>
      <w:tr>
        <w:trPr/>
        <w:tc>
          <w:tcPr>
            <w:tcW w:w="120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Aragón y País Vasco</w:t>
            </w:r>
          </w:p>
        </w:tc>
        <w:tc>
          <w:tcPr>
            <w:tcW w:w="147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205.516</w:t>
            </w:r>
          </w:p>
        </w:tc>
        <w:tc>
          <w:tcPr>
            <w:tcW w:w="123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0,8490€</w:t>
            </w:r>
          </w:p>
        </w:tc>
        <w:tc>
          <w:tcPr>
            <w:tcW w:w="1164"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07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26"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39"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r>
    </w:tbl>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La presente proposición económica tiene una vigencia de CIENTO VEINTE (120) días. </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Y a los efectos oportunos, firma la presente, en [●], [●] de [●] de 202[●].</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Firma: [●] </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i/>
          <w:i/>
          <w:iCs/>
          <w:sz w:val="22"/>
          <w:szCs w:val="22"/>
        </w:rPr>
      </w:pPr>
      <w:r>
        <w:rPr>
          <w:rFonts w:eastAsia="Arial Narrow" w:cs="Arial Narrow" w:ascii="Arial Narrow" w:hAnsi="Arial Narrow"/>
          <w:i/>
          <w:iCs/>
          <w:sz w:val="22"/>
          <w:szCs w:val="22"/>
        </w:rPr>
        <w:t>(Quedarán excluidas del presente procedimiento aquellas ofertas que no se ajusten al formato del presente anexo, sean incompletas, anómalas, contengan subsanaciones, errores y/u omisiones, que no permitan conocer claramente las condiciones para valorar la oferta o induzcan a error. Así mismo, quedarán excluidos del procedimiento de adjudicación aquellos operadores económicos la oferta económica de los cuales supere el presupuesto máximo de licitación).</w:t>
      </w:r>
      <w:r>
        <w:br w:type="page"/>
      </w:r>
    </w:p>
    <w:p>
      <w:pPr>
        <w:pStyle w:val="Normal1"/>
        <w:keepNext w:val="true"/>
        <w:widowControl/>
        <w:spacing w:lineRule="auto" w:line="259" w:before="0" w:after="60"/>
        <w:jc w:val="center"/>
        <w:rPr>
          <w:rFonts w:ascii="Arial Narrow" w:hAnsi="Arial Narrow" w:eastAsia="Arial Narrow" w:cs="Arial Narrow"/>
          <w:smallCaps/>
          <w:sz w:val="22"/>
          <w:szCs w:val="22"/>
          <w:u w:val="single"/>
        </w:rPr>
      </w:pPr>
      <w:bookmarkStart w:id="9" w:name="_heading=h.3vac5uf_Copia_2"/>
      <w:bookmarkEnd w:id="9"/>
      <w:r>
        <w:rPr>
          <w:rFonts w:eastAsia="Arial Narrow" w:cs="Arial Narrow" w:ascii="Arial Narrow" w:hAnsi="Arial Narrow"/>
          <w:b/>
          <w:bCs/>
          <w:smallCaps/>
          <w:sz w:val="22"/>
          <w:szCs w:val="22"/>
          <w:u w:val="single"/>
        </w:rPr>
        <w:t>ANEXO NÚM. 12: MODELO DE PROPOSICIÓN ECONÓMICA LOTE 4</w:t>
      </w:r>
    </w:p>
    <w:p>
      <w:pPr>
        <w:pStyle w:val="Normal1"/>
        <w:spacing w:lineRule="auto" w:line="259"/>
        <w:jc w:val="center"/>
        <w:rPr>
          <w:rFonts w:ascii="Arial Narrow" w:hAnsi="Arial Narrow" w:eastAsia="Arial Narrow" w:cs="Arial Narrow"/>
          <w:b/>
          <w:bCs/>
          <w:smallCaps/>
          <w:sz w:val="22"/>
          <w:szCs w:val="22"/>
          <w:u w:val="single"/>
        </w:rPr>
      </w:pPr>
      <w:r>
        <w:rPr>
          <w:rFonts w:eastAsia="Arial Narrow" w:cs="Arial Narrow" w:ascii="Arial Narrow" w:hAnsi="Arial Narrow"/>
          <w:b/>
          <w:bCs/>
          <w:smallCaps/>
          <w:sz w:val="22"/>
          <w:szCs w:val="22"/>
          <w:u w:val="single"/>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D./Dª. [●], mayor de edad, vecino/a de [●], calle [●], nº [●], piso [●], puerta [●], provisto/a de DNI nº [●], con plena posesión de su capacidad jurídica y de obrar, actuando en nombre y representación de [●], con sujeción a aquello establecido en el Pliego de Condiciones Generales, en el Pliego de Prescripciones Técnicas, y a todos los anexos correspondientes al Acuerdo Marco de los servicios lectura de contadores para empresas del Grupo VEOLIA (Referencia: 2025_C19_0007), el contenido de los cuales conoce y acepta íntegramente, y con aquello establecido en la documentación técnica de su oferta, para el caso de resultar adjudicataria, se obliga a la realización del servicio adjudicado, según los precios unitarios ofertados a continuación:</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13"/>
        <w:tblW w:w="8400" w:type="dxa"/>
        <w:jc w:val="left"/>
        <w:tblInd w:w="0" w:type="dxa"/>
        <w:tblLayout w:type="fixed"/>
        <w:tblCellMar>
          <w:top w:w="100" w:type="dxa"/>
          <w:left w:w="100" w:type="dxa"/>
          <w:bottom w:w="100" w:type="dxa"/>
          <w:right w:w="100" w:type="dxa"/>
        </w:tblCellMar>
        <w:tblLook w:val="0600"/>
      </w:tblPr>
      <w:tblGrid>
        <w:gridCol w:w="1200"/>
        <w:gridCol w:w="1410"/>
        <w:gridCol w:w="1185"/>
        <w:gridCol w:w="1185"/>
        <w:gridCol w:w="1179"/>
        <w:gridCol w:w="1130"/>
        <w:gridCol w:w="1110"/>
      </w:tblGrid>
      <w:tr>
        <w:trPr>
          <w:trHeight w:val="420" w:hRule="atLeast"/>
        </w:trPr>
        <w:tc>
          <w:tcPr>
            <w:tcW w:w="1200" w:type="dxa"/>
            <w:vMerge w:val="restart"/>
            <w:tcBorders>
              <w:top w:val="single" w:sz="8" w:space="0" w:color="000000"/>
              <w:left w:val="single" w:sz="8" w:space="0" w:color="000000"/>
              <w:bottom w:val="single" w:sz="6" w:space="0" w:color="000000"/>
              <w:right w:val="single" w:sz="8" w:space="0" w:color="000000"/>
            </w:tcBorders>
            <w:shd w:fill="auto" w:val="clear"/>
          </w:tcPr>
          <w:sdt>
            <w:sdtPr>
              <w:id w:val="1112571041"/>
              <w:tag w:val="goog_rdk_4"/>
              <w:lock w:val="contentLocked"/>
            </w:sdtPr>
            <w:sdtContent>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Zona</w:t>
                </w:r>
              </w:p>
            </w:sdtContent>
          </w:sdt>
        </w:tc>
        <w:tc>
          <w:tcPr>
            <w:tcW w:w="1410" w:type="dxa"/>
            <w:vMerge w:val="restart"/>
            <w:tcBorders>
              <w:top w:val="single" w:sz="8" w:space="0" w:color="000000"/>
              <w:left w:val="single" w:sz="8" w:space="0" w:color="000000"/>
              <w:bottom w:val="single" w:sz="6"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NÚM. LECTURAS ESTIMADAS ANUALES</w:t>
            </w:r>
          </w:p>
        </w:tc>
        <w:tc>
          <w:tcPr>
            <w:tcW w:w="1185" w:type="dxa"/>
            <w:vMerge w:val="restart"/>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Precio Unitario MÁX</w:t>
            </w:r>
          </w:p>
        </w:tc>
        <w:tc>
          <w:tcPr>
            <w:tcW w:w="4604" w:type="dxa"/>
            <w:gridSpan w:val="4"/>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b/>
                <w:bCs/>
                <w:sz w:val="22"/>
                <w:szCs w:val="22"/>
              </w:rPr>
            </w:pPr>
            <w:r>
              <w:rPr>
                <w:rFonts w:eastAsia="Arial Narrow" w:cs="Arial Narrow" w:ascii="Arial Narrow" w:hAnsi="Arial Narrow"/>
                <w:b/>
                <w:bCs/>
                <w:sz w:val="22"/>
                <w:szCs w:val="22"/>
              </w:rPr>
              <w:t>PRECIO UNITARIO OFERTADO</w:t>
            </w:r>
          </w:p>
        </w:tc>
      </w:tr>
      <w:tr>
        <w:trPr>
          <w:trHeight w:val="420" w:hRule="atLeast"/>
        </w:trPr>
        <w:tc>
          <w:tcPr>
            <w:tcW w:w="1200" w:type="dxa"/>
            <w:vMerge w:val="continue"/>
            <w:tcBorders>
              <w:top w:val="single" w:sz="6" w:space="0" w:color="000000"/>
              <w:left w:val="single" w:sz="8" w:space="0" w:color="000000"/>
              <w:bottom w:val="single" w:sz="6" w:space="0" w:color="000000"/>
              <w:right w:val="single" w:sz="6" w:space="0" w:color="000000"/>
            </w:tcBorders>
            <w:tcMar>
              <w:top w:w="40" w:type="dxa"/>
              <w:left w:w="40" w:type="dxa"/>
              <w:bottom w:w="40" w:type="dxa"/>
              <w:right w:w="40" w:type="dxa"/>
            </w:tcMar>
            <w:vAlign w:val="bottom"/>
          </w:tcPr>
          <w:p>
            <w:pPr>
              <w:pStyle w:val="Normal1"/>
              <w:spacing w:lineRule="auto" w:line="240" w:before="0" w:after="0"/>
              <w:ind w:hanging="0" w:left="0"/>
              <w:jc w:val="center"/>
              <w:rPr>
                <w:rFonts w:ascii="Arial" w:hAnsi="Arial" w:eastAsia="Arial" w:cs="Arial"/>
                <w:sz w:val="20"/>
                <w:szCs w:val="20"/>
                <w:shd w:fill="A4C2F4" w:val="clear"/>
              </w:rPr>
            </w:pPr>
            <w:r>
              <w:rPr>
                <w:rFonts w:eastAsia="Arial" w:cs="Arial" w:ascii="Arial" w:hAnsi="Arial"/>
                <w:sz w:val="20"/>
                <w:szCs w:val="20"/>
                <w:shd w:fill="A4C2F4" w:val="clear"/>
              </w:rPr>
            </w:r>
          </w:p>
        </w:tc>
        <w:tc>
          <w:tcPr>
            <w:tcW w:w="1410" w:type="dxa"/>
            <w:vMerge w:val="continue"/>
            <w:tcBorders>
              <w:top w:val="single" w:sz="6" w:space="0" w:color="000000"/>
              <w:left w:val="single" w:sz="8" w:space="0" w:color="000000"/>
              <w:bottom w:val="single" w:sz="6" w:space="0" w:color="000000"/>
              <w:right w:val="single" w:sz="6" w:space="0" w:color="000000"/>
            </w:tcBorders>
            <w:tcMar>
              <w:top w:w="40" w:type="dxa"/>
              <w:left w:w="40" w:type="dxa"/>
              <w:bottom w:w="40" w:type="dxa"/>
              <w:right w:w="40" w:type="dxa"/>
            </w:tcMar>
            <w:vAlign w:val="bottom"/>
          </w:tcPr>
          <w:p>
            <w:pPr>
              <w:pStyle w:val="Normal1"/>
              <w:spacing w:lineRule="auto" w:line="240" w:before="0" w:after="0"/>
              <w:ind w:hanging="0" w:left="0"/>
              <w:jc w:val="center"/>
              <w:rPr>
                <w:rFonts w:ascii="Arial" w:hAnsi="Arial" w:eastAsia="Arial" w:cs="Arial"/>
                <w:sz w:val="20"/>
                <w:szCs w:val="20"/>
                <w:shd w:fill="A4C2F4" w:val="clear"/>
              </w:rPr>
            </w:pPr>
            <w:r>
              <w:rPr>
                <w:rFonts w:eastAsia="Arial" w:cs="Arial" w:ascii="Arial" w:hAnsi="Arial"/>
                <w:sz w:val="20"/>
                <w:szCs w:val="20"/>
                <w:shd w:fill="A4C2F4" w:val="clear"/>
              </w:rPr>
            </w:r>
          </w:p>
        </w:tc>
        <w:tc>
          <w:tcPr>
            <w:tcW w:w="1185" w:type="dxa"/>
            <w:vMerge w:val="continue"/>
            <w:tcBorders>
              <w:top w:val="single" w:sz="8" w:space="0" w:color="000000"/>
              <w:left w:val="single" w:sz="6" w:space="0" w:color="000000"/>
              <w:bottom w:val="single" w:sz="8" w:space="0" w:color="000000"/>
              <w:right w:val="single" w:sz="8" w:space="0" w:color="000000"/>
            </w:tcBorders>
            <w:shd w:fill="auto" w:val="clear"/>
          </w:tcPr>
          <w:p>
            <w:pPr>
              <w:pStyle w:val="Normal1"/>
              <w:spacing w:lineRule="auto" w:line="240" w:before="0" w:after="0"/>
              <w:ind w:hanging="0" w:left="0"/>
              <w:jc w:val="center"/>
              <w:rPr>
                <w:rFonts w:ascii="Arial Narrow" w:hAnsi="Arial Narrow" w:eastAsia="Arial Narrow" w:cs="Arial Narrow"/>
                <w:sz w:val="22"/>
                <w:szCs w:val="22"/>
                <w:shd w:fill="A4C2F4" w:val="clear"/>
              </w:rPr>
            </w:pPr>
            <w:r>
              <w:rPr>
                <w:rFonts w:eastAsia="Arial Narrow" w:cs="Arial Narrow" w:ascii="Arial Narrow" w:hAnsi="Arial Narrow"/>
                <w:sz w:val="22"/>
                <w:szCs w:val="22"/>
                <w:shd w:fill="A4C2F4" w:val="clear"/>
              </w:rPr>
            </w:r>
          </w:p>
        </w:tc>
        <w:tc>
          <w:tcPr>
            <w:tcW w:w="1185"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2026</w:t>
            </w:r>
          </w:p>
        </w:tc>
        <w:tc>
          <w:tcPr>
            <w:tcW w:w="1179"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2027</w:t>
            </w:r>
          </w:p>
        </w:tc>
        <w:tc>
          <w:tcPr>
            <w:tcW w:w="113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2028</w:t>
            </w:r>
          </w:p>
        </w:tc>
        <w:tc>
          <w:tcPr>
            <w:tcW w:w="111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2029</w:t>
            </w:r>
          </w:p>
        </w:tc>
      </w:tr>
      <w:tr>
        <w:trPr/>
        <w:tc>
          <w:tcPr>
            <w:tcW w:w="1200" w:type="dxa"/>
            <w:tcBorders>
              <w:top w:val="single" w:sz="6" w:space="0" w:color="000000"/>
              <w:left w:val="single" w:sz="8" w:space="0" w:color="000000"/>
              <w:bottom w:val="single" w:sz="6" w:space="0" w:color="000000"/>
              <w:right w:val="single" w:sz="6" w:space="0" w:color="000000"/>
            </w:tcBorders>
            <w:tcMar>
              <w:top w:w="40" w:type="dxa"/>
              <w:left w:w="40" w:type="dxa"/>
              <w:bottom w:w="40" w:type="dxa"/>
              <w:right w:w="40" w:type="dxa"/>
            </w:tcMar>
            <w:vAlign w:val="bottom"/>
          </w:tcPr>
          <w:p>
            <w:pPr>
              <w:pStyle w:val="Normal1"/>
              <w:spacing w:lineRule="auto" w:line="276"/>
              <w:jc w:val="center"/>
              <w:rPr>
                <w:rFonts w:ascii="Arial Narrow" w:hAnsi="Arial Narrow" w:eastAsia="Arial Narrow" w:cs="Arial Narrow"/>
                <w:sz w:val="22"/>
                <w:szCs w:val="22"/>
              </w:rPr>
            </w:pPr>
            <w:r>
              <w:rPr>
                <w:rFonts w:eastAsia="Arial Narrow" w:cs="Arial Narrow" w:ascii="Arial Narrow" w:hAnsi="Arial Narrow"/>
                <w:sz w:val="22"/>
                <w:szCs w:val="22"/>
              </w:rPr>
              <w:t>Cieza</w:t>
            </w:r>
          </w:p>
        </w:tc>
        <w:tc>
          <w:tcPr>
            <w:tcW w:w="1410" w:type="dxa"/>
            <w:tcBorders>
              <w:top w:val="single" w:sz="6" w:space="0" w:color="000000"/>
              <w:left w:val="single" w:sz="8" w:space="0" w:color="000000"/>
              <w:bottom w:val="single" w:sz="6" w:space="0" w:color="000000"/>
              <w:right w:val="single" w:sz="6" w:space="0" w:color="000000"/>
            </w:tcBorders>
            <w:tcMar>
              <w:top w:w="40" w:type="dxa"/>
              <w:left w:w="40" w:type="dxa"/>
              <w:bottom w:w="40" w:type="dxa"/>
              <w:right w:w="40" w:type="dxa"/>
            </w:tcMar>
            <w:vAlign w:val="bottom"/>
          </w:tcPr>
          <w:p>
            <w:pPr>
              <w:pStyle w:val="Normal1"/>
              <w:spacing w:lineRule="auto" w:line="276"/>
              <w:jc w:val="center"/>
              <w:rPr>
                <w:rFonts w:ascii="Arial Narrow" w:hAnsi="Arial Narrow" w:eastAsia="Arial Narrow" w:cs="Arial Narrow"/>
                <w:sz w:val="22"/>
                <w:szCs w:val="22"/>
              </w:rPr>
            </w:pPr>
            <w:r>
              <w:rPr>
                <w:rFonts w:eastAsia="Arial Narrow" w:cs="Arial Narrow" w:ascii="Arial Narrow" w:hAnsi="Arial Narrow"/>
                <w:sz w:val="22"/>
                <w:szCs w:val="22"/>
              </w:rPr>
              <w:t>93.312</w:t>
            </w:r>
          </w:p>
        </w:tc>
        <w:tc>
          <w:tcPr>
            <w:tcW w:w="1185" w:type="dxa"/>
            <w:tcBorders>
              <w:top w:val="single" w:sz="8" w:space="0" w:color="000000"/>
              <w:left w:val="single" w:sz="6"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0,5857€</w:t>
            </w:r>
          </w:p>
        </w:tc>
        <w:tc>
          <w:tcPr>
            <w:tcW w:w="1185"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79"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3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1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r>
      <w:tr>
        <w:trPr/>
        <w:tc>
          <w:tcPr>
            <w:tcW w:w="1200" w:type="dxa"/>
            <w:tcBorders>
              <w:top w:val="single" w:sz="6" w:space="0" w:color="000000"/>
              <w:left w:val="single" w:sz="8" w:space="0" w:color="000000"/>
              <w:bottom w:val="single" w:sz="6" w:space="0" w:color="000000"/>
              <w:right w:val="single" w:sz="6" w:space="0" w:color="000000"/>
            </w:tcBorders>
            <w:tcMar>
              <w:top w:w="40" w:type="dxa"/>
              <w:left w:w="40" w:type="dxa"/>
              <w:bottom w:w="40" w:type="dxa"/>
              <w:right w:w="40" w:type="dxa"/>
            </w:tcMar>
            <w:vAlign w:val="bottom"/>
          </w:tcPr>
          <w:p>
            <w:pPr>
              <w:pStyle w:val="Normal1"/>
              <w:spacing w:lineRule="auto" w:line="276"/>
              <w:jc w:val="center"/>
              <w:rPr>
                <w:rFonts w:ascii="Arial Narrow" w:hAnsi="Arial Narrow" w:eastAsia="Arial Narrow" w:cs="Arial Narrow"/>
                <w:sz w:val="22"/>
                <w:szCs w:val="22"/>
              </w:rPr>
            </w:pPr>
            <w:r>
              <w:rPr>
                <w:rFonts w:eastAsia="Arial Narrow" w:cs="Arial Narrow" w:ascii="Arial Narrow" w:hAnsi="Arial Narrow"/>
                <w:sz w:val="22"/>
                <w:szCs w:val="22"/>
              </w:rPr>
              <w:t>Lorca</w:t>
            </w:r>
          </w:p>
        </w:tc>
        <w:tc>
          <w:tcPr>
            <w:tcW w:w="1410" w:type="dxa"/>
            <w:tcBorders>
              <w:top w:val="single" w:sz="6" w:space="0" w:color="000000"/>
              <w:left w:val="single" w:sz="8" w:space="0" w:color="000000"/>
              <w:bottom w:val="single" w:sz="6" w:space="0" w:color="000000"/>
              <w:right w:val="single" w:sz="6" w:space="0" w:color="000000"/>
            </w:tcBorders>
            <w:tcMar>
              <w:top w:w="40" w:type="dxa"/>
              <w:left w:w="40" w:type="dxa"/>
              <w:bottom w:w="40" w:type="dxa"/>
              <w:right w:w="40" w:type="dxa"/>
            </w:tcMar>
            <w:vAlign w:val="bottom"/>
          </w:tcPr>
          <w:p>
            <w:pPr>
              <w:pStyle w:val="Normal1"/>
              <w:spacing w:lineRule="auto" w:line="276"/>
              <w:jc w:val="center"/>
              <w:rPr>
                <w:rFonts w:ascii="Arial Narrow" w:hAnsi="Arial Narrow" w:eastAsia="Arial Narrow" w:cs="Arial Narrow"/>
                <w:sz w:val="22"/>
                <w:szCs w:val="22"/>
              </w:rPr>
            </w:pPr>
            <w:r>
              <w:rPr>
                <w:rFonts w:eastAsia="Arial Narrow" w:cs="Arial Narrow" w:ascii="Arial Narrow" w:hAnsi="Arial Narrow"/>
                <w:sz w:val="22"/>
                <w:szCs w:val="22"/>
              </w:rPr>
              <w:t>237.106</w:t>
            </w:r>
          </w:p>
        </w:tc>
        <w:tc>
          <w:tcPr>
            <w:tcW w:w="1185" w:type="dxa"/>
            <w:tcBorders>
              <w:top w:val="single" w:sz="8" w:space="0" w:color="000000"/>
              <w:left w:val="single" w:sz="6"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0,7824€</w:t>
            </w:r>
          </w:p>
        </w:tc>
        <w:tc>
          <w:tcPr>
            <w:tcW w:w="1185"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79"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3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1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r>
      <w:tr>
        <w:trPr/>
        <w:tc>
          <w:tcPr>
            <w:tcW w:w="1200" w:type="dxa"/>
            <w:tcBorders>
              <w:top w:val="single" w:sz="6" w:space="0" w:color="000000"/>
              <w:left w:val="single" w:sz="8" w:space="0" w:color="000000"/>
              <w:bottom w:val="single" w:sz="6" w:space="0" w:color="000000"/>
              <w:right w:val="single" w:sz="6" w:space="0" w:color="000000"/>
            </w:tcBorders>
            <w:tcMar>
              <w:top w:w="40" w:type="dxa"/>
              <w:left w:w="40" w:type="dxa"/>
              <w:bottom w:w="40" w:type="dxa"/>
              <w:right w:w="40" w:type="dxa"/>
            </w:tcMar>
            <w:vAlign w:val="bottom"/>
          </w:tcPr>
          <w:p>
            <w:pPr>
              <w:pStyle w:val="Normal1"/>
              <w:spacing w:lineRule="auto" w:line="276"/>
              <w:jc w:val="center"/>
              <w:rPr>
                <w:rFonts w:ascii="Arial Narrow" w:hAnsi="Arial Narrow" w:eastAsia="Arial Narrow" w:cs="Arial Narrow"/>
                <w:sz w:val="22"/>
                <w:szCs w:val="22"/>
              </w:rPr>
            </w:pPr>
            <w:r>
              <w:rPr>
                <w:rFonts w:eastAsia="Arial Narrow" w:cs="Arial Narrow" w:ascii="Arial Narrow" w:hAnsi="Arial Narrow"/>
                <w:sz w:val="22"/>
                <w:szCs w:val="22"/>
              </w:rPr>
              <w:t>Murcia</w:t>
            </w:r>
          </w:p>
        </w:tc>
        <w:tc>
          <w:tcPr>
            <w:tcW w:w="1410" w:type="dxa"/>
            <w:tcBorders>
              <w:top w:val="single" w:sz="6" w:space="0" w:color="000000"/>
              <w:left w:val="single" w:sz="8" w:space="0" w:color="000000"/>
              <w:bottom w:val="single" w:sz="6" w:space="0" w:color="000000"/>
              <w:right w:val="single" w:sz="6" w:space="0" w:color="000000"/>
            </w:tcBorders>
            <w:tcMar>
              <w:top w:w="40" w:type="dxa"/>
              <w:left w:w="40" w:type="dxa"/>
              <w:bottom w:w="40" w:type="dxa"/>
              <w:right w:w="40" w:type="dxa"/>
            </w:tcMar>
            <w:vAlign w:val="bottom"/>
          </w:tcPr>
          <w:p>
            <w:pPr>
              <w:pStyle w:val="Normal1"/>
              <w:spacing w:lineRule="auto" w:line="276"/>
              <w:jc w:val="center"/>
              <w:rPr>
                <w:rFonts w:ascii="Arial Narrow" w:hAnsi="Arial Narrow" w:eastAsia="Arial Narrow" w:cs="Arial Narrow"/>
                <w:sz w:val="22"/>
                <w:szCs w:val="22"/>
              </w:rPr>
            </w:pPr>
            <w:r>
              <w:rPr>
                <w:rFonts w:eastAsia="Arial Narrow" w:cs="Arial Narrow" w:ascii="Arial Narrow" w:hAnsi="Arial Narrow"/>
                <w:sz w:val="22"/>
                <w:szCs w:val="22"/>
              </w:rPr>
              <w:t>642.645</w:t>
            </w:r>
          </w:p>
        </w:tc>
        <w:tc>
          <w:tcPr>
            <w:tcW w:w="1185" w:type="dxa"/>
            <w:tcBorders>
              <w:top w:val="single" w:sz="8" w:space="0" w:color="000000"/>
              <w:left w:val="single" w:sz="6"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t>0,7083€</w:t>
            </w:r>
          </w:p>
        </w:tc>
        <w:tc>
          <w:tcPr>
            <w:tcW w:w="1185"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79"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3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c>
          <w:tcPr>
            <w:tcW w:w="1110" w:type="dxa"/>
            <w:tcBorders>
              <w:top w:val="single" w:sz="8" w:space="0" w:color="000000"/>
              <w:left w:val="single" w:sz="8" w:space="0" w:color="000000"/>
              <w:bottom w:val="single" w:sz="8" w:space="0" w:color="000000"/>
              <w:right w:val="single" w:sz="8" w:space="0" w:color="000000"/>
            </w:tcBorders>
            <w:shd w:fill="auto" w:val="clear"/>
          </w:tcPr>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tc>
      </w:tr>
    </w:tbl>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La presente proposición económica tiene una vigencia de CIENTO VEINTE (120) días. </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Y a los efectos oportunos, firma la presente, en [●], [●] de [●] de 202[●].</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Firma: [●] </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i/>
          <w:i/>
          <w:iCs/>
          <w:sz w:val="22"/>
          <w:szCs w:val="22"/>
        </w:rPr>
      </w:pPr>
      <w:r>
        <w:rPr>
          <w:rFonts w:eastAsia="Arial Narrow" w:cs="Arial Narrow" w:ascii="Arial Narrow" w:hAnsi="Arial Narrow"/>
          <w:i/>
          <w:iCs/>
          <w:sz w:val="22"/>
          <w:szCs w:val="22"/>
        </w:rPr>
        <w:t>(Quedarán excluidas del presente procedimiento aquellas ofertas que no se ajusten al formato del presente anexo, sean incompletas, anómalas, contengan subsanaciones, errores y/u omisiones, que no permitan conocer claramente las condiciones para valorar la oferta o induzcan a error. Así mismo, quedarán excluidos del procedimiento de adjudicación aquellos operadores económicos la oferta económica de los cuales supere el presupuesto máximo de licitación).</w:t>
      </w:r>
    </w:p>
    <w:p>
      <w:pPr>
        <w:pStyle w:val="Normal1"/>
        <w:widowControl/>
        <w:spacing w:lineRule="auto" w:line="259" w:before="0" w:after="160"/>
        <w:rPr>
          <w:rFonts w:ascii="Arial Narrow" w:hAnsi="Arial Narrow" w:eastAsia="Arial Narrow" w:cs="Arial Narrow"/>
          <w:i/>
          <w:i/>
          <w:iCs/>
          <w:sz w:val="22"/>
          <w:szCs w:val="22"/>
        </w:rPr>
      </w:pPr>
      <w:r>
        <w:rPr>
          <w:rFonts w:eastAsia="Arial Narrow" w:cs="Arial Narrow" w:ascii="Arial Narrow" w:hAnsi="Arial Narrow"/>
          <w:i/>
          <w:iCs/>
          <w:sz w:val="22"/>
          <w:szCs w:val="22"/>
        </w:rPr>
      </w:r>
      <w:r>
        <w:br w:type="page"/>
      </w:r>
    </w:p>
    <w:p>
      <w:pPr>
        <w:pStyle w:val="Normal1"/>
        <w:keepNext w:val="true"/>
        <w:keepLines w:val="false"/>
        <w:widowControl/>
        <w:pBdr/>
        <w:shd w:val="clear" w:fill="auto"/>
        <w:spacing w:lineRule="auto" w:line="259" w:before="0" w:after="60"/>
        <w:ind w:hanging="0" w:left="0" w:right="0"/>
        <w:jc w:val="center"/>
        <w:rPr>
          <w:rFonts w:ascii="Arial Narrow" w:hAnsi="Arial Narrow" w:eastAsia="Arial Narrow" w:cs="Arial Narrow"/>
          <w:b w:val="false"/>
          <w:bCs w:val="false"/>
          <w:i w:val="false"/>
          <w:i w:val="false"/>
          <w:iCs w:val="false"/>
          <w:smallCaps/>
          <w:strike w:val="false"/>
          <w:dstrike w:val="false"/>
          <w:color w:val="000000"/>
          <w:position w:val="0"/>
          <w:sz w:val="22"/>
          <w:sz w:val="22"/>
          <w:szCs w:val="22"/>
          <w:u w:val="single"/>
          <w:shd w:fill="auto" w:val="clear"/>
          <w:vertAlign w:val="baseline"/>
        </w:rPr>
      </w:pPr>
      <w:bookmarkStart w:id="10" w:name="_heading=h.2afmg28"/>
      <w:bookmarkEnd w:id="10"/>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ANEXO NÚM. 1</w:t>
      </w:r>
      <w:r>
        <w:rPr>
          <w:rFonts w:eastAsia="Arial Narrow" w:cs="Arial Narrow" w:ascii="Arial Narrow" w:hAnsi="Arial Narrow"/>
          <w:b/>
          <w:bCs/>
          <w:smallCaps/>
          <w:sz w:val="22"/>
          <w:szCs w:val="22"/>
          <w:u w:val="single"/>
        </w:rPr>
        <w:t>3</w:t>
      </w:r>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w:t>
      </w:r>
      <w:r>
        <w:rPr>
          <w:rFonts w:eastAsia="Arial Narrow" w:cs="Arial Narrow" w:ascii="Arial Narrow" w:hAnsi="Arial Narrow"/>
          <w:b/>
          <w:bCs/>
          <w:i w:val="false"/>
          <w:iCs w:val="false"/>
          <w:smallCaps/>
          <w:strike w:val="false"/>
          <w:dstrike w:val="false"/>
          <w:color w:val="000000"/>
          <w:position w:val="0"/>
          <w:sz w:val="22"/>
          <w:sz w:val="22"/>
          <w:szCs w:val="22"/>
          <w:u w:val="none"/>
          <w:shd w:fill="auto" w:val="clear"/>
          <w:vertAlign w:val="baseline"/>
        </w:rPr>
        <w:br/>
      </w:r>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MODELO DE AVAL CORRESPONDIENTE A LA GARANTÍA DEFINITIVA</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La entidad [●] (en adelante, “Entidad Avalista”), con NIF [●] y domicilio en [●] de [●], y en su nombre el Sr./Sra. [●], con DNI [●], en calidad de [●] y en virtud de sus facultades, que constan en la escritura de poder otorgada ante el/la Notario/a de [●], Sr./Sra. [●], de fecha [●] y número [●] de su protocolo, las cuales afirma que a fecha de hoy son plenamente vigentes y no han </w:t>
      </w:r>
      <w:r>
        <w:rPr>
          <w:rFonts w:eastAsia="Arial Narrow" w:cs="Arial Narrow" w:ascii="Arial Narrow" w:hAnsi="Arial Narrow"/>
          <w:sz w:val="22"/>
          <w:szCs w:val="22"/>
        </w:rPr>
        <w:t xml:space="preserve">sido </w:t>
      </w:r>
      <w:r>
        <w:rPr>
          <w:rFonts w:eastAsia="Arial Narrow" w:cs="Arial Narrow" w:ascii="Arial Narrow" w:hAnsi="Arial Narrow"/>
          <w:color w:val="000000"/>
          <w:sz w:val="22"/>
          <w:szCs w:val="22"/>
        </w:rPr>
        <w:t xml:space="preserve">revocadas,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t>AVALA</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A [●] (en adelante, “Proveedor Avalado”) con CIF [●], a los efectos de garantizar el total y exacto cumplimiento por el Proveedor avalado de todas y cada una de las obligaciones concretadas en el ACUERDO MARCO DE </w:t>
      </w:r>
      <w:r>
        <w:rPr>
          <w:rFonts w:eastAsia="Arial Narrow" w:cs="Arial Narrow" w:ascii="Arial Narrow" w:hAnsi="Arial Narrow"/>
          <w:sz w:val="22"/>
          <w:szCs w:val="22"/>
        </w:rPr>
        <w:t>LOS SERVICIOS DE LECTURA DE CONTADORES PARA EMPRESAS DEL GRUPO VEOLIA (REFERENCIA: 2025_C19_0007),</w:t>
      </w:r>
      <w:r>
        <w:rPr>
          <w:rFonts w:eastAsia="Arial Narrow" w:cs="Arial Narrow" w:ascii="Arial Narrow" w:hAnsi="Arial Narrow"/>
          <w:color w:val="000000"/>
          <w:sz w:val="22"/>
          <w:szCs w:val="22"/>
        </w:rPr>
        <w:t xml:space="preserve"> por importe de [..............Importe del aval en texto..............] EUROS ([...........] €).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La Entidad Avalista declara bajo su responsabilidad, que cumple los requisitos previstos en el artículo 56.2 del Real Decreto 1098/2001, de 12 de octubre, por el cual se aprueba el Reglamento de la Ley de Contratos de las Administraciones Públicas. Este aval se otorga conjunta y solidariamente respecto al obligado principal (es decir, el Proveedor Avalado), con obligación incondicional y renuncia expresa y formal a toda excepción y reserva, y entre otros, a los beneficios de excusión, orden y división y con compromiso de pago al primer requerimiento de VEOLIA AGBAR, S.L.U.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La Entidad Avalista renuncia expresa y solemnemente a toda excepción o reserva en cuanto a la entrega de las cantidades que le sean reclamadas, sea cual sea la causa o motivo en que estas se hayan fundamentado y aunque se manifieste oposición o reclamación por parte del Proveedor avalado o de terceros, sean cuales sean.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El presente aval continuará en vigor hasta que VEOLIA AGBAR, S.L.U. o quien en su nombre sea legalmente habilitado para hacerlo, resuelva expresamente declarar la extinción de la obligación garantizada y la cancelación del aval.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Este aval queda inscrito en el registro especial de avales de la Entidad Avalista con el número [●].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Barcelona, a [●] de [●] de 2025</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14"/>
        <w:tblW w:w="4640" w:type="dxa"/>
        <w:jc w:val="center"/>
        <w:tblInd w:w="0" w:type="dxa"/>
        <w:tblLayout w:type="fixed"/>
        <w:tblCellMar>
          <w:top w:w="0" w:type="dxa"/>
          <w:left w:w="108" w:type="dxa"/>
          <w:bottom w:w="0" w:type="dxa"/>
          <w:right w:w="108" w:type="dxa"/>
        </w:tblCellMar>
        <w:tblLook w:val="0400"/>
      </w:tblPr>
      <w:tblGrid>
        <w:gridCol w:w="4640"/>
      </w:tblGrid>
      <w:tr>
        <w:trPr>
          <w:trHeight w:val="2721" w:hRule="atLeast"/>
        </w:trPr>
        <w:tc>
          <w:tcPr>
            <w:tcW w:w="4640" w:type="dxa"/>
            <w:tcBorders>
              <w:top w:val="single" w:sz="8" w:space="0" w:color="4F81BD"/>
              <w:left w:val="single" w:sz="8" w:space="0" w:color="4F81BD"/>
              <w:bottom w:val="single" w:sz="8" w:space="0" w:color="4F81BD"/>
              <w:right w:val="single" w:sz="8" w:space="0" w:color="4F81BD"/>
            </w:tcBorders>
          </w:tcPr>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t>[………..Denominación social completa de la Entidad Avalista………..]</w:t>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i/>
                <w:i/>
                <w:iCs/>
                <w:sz w:val="22"/>
                <w:szCs w:val="22"/>
              </w:rPr>
            </w:pPr>
            <w:r>
              <w:rPr>
                <w:rFonts w:eastAsia="Arial Narrow" w:cs="Arial Narrow" w:ascii="Arial Narrow" w:hAnsi="Arial Narrow"/>
                <w:sz w:val="22"/>
                <w:szCs w:val="22"/>
              </w:rPr>
              <w:t>D./Dª.</w:t>
            </w:r>
            <w:r>
              <w:rPr>
                <w:rFonts w:eastAsia="Arial Narrow" w:cs="Arial Narrow" w:ascii="Arial Narrow" w:hAnsi="Arial Narrow"/>
                <w:color w:val="000000"/>
                <w:sz w:val="22"/>
                <w:szCs w:val="22"/>
              </w:rPr>
              <w:t xml:space="preserve"> ____________________</w:t>
            </w:r>
          </w:p>
          <w:p>
            <w:pPr>
              <w:pStyle w:val="Normal1"/>
              <w:spacing w:lineRule="auto" w:line="259"/>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tc>
      </w:tr>
    </w:tbl>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r>
        <w:br w:type="page"/>
      </w:r>
    </w:p>
    <w:p>
      <w:pPr>
        <w:pStyle w:val="Normal1"/>
        <w:widowControl/>
        <w:spacing w:lineRule="auto" w:line="259" w:before="0" w:after="160"/>
        <w:jc w:val="center"/>
        <w:rPr>
          <w:rFonts w:ascii="Arial Narrow" w:hAnsi="Arial Narrow" w:eastAsia="Arial Narrow" w:cs="Arial Narrow"/>
          <w:b/>
          <w:bCs/>
          <w:sz w:val="22"/>
          <w:szCs w:val="22"/>
          <w:u w:val="single"/>
        </w:rPr>
      </w:pPr>
      <w:r>
        <w:rPr>
          <w:rFonts w:eastAsia="Arial Narrow" w:cs="Arial Narrow" w:ascii="Arial Narrow" w:hAnsi="Arial Narrow"/>
          <w:b/>
          <w:bCs/>
          <w:sz w:val="22"/>
          <w:szCs w:val="22"/>
          <w:u w:val="single"/>
        </w:rPr>
        <w:t>ANEXO NÚM. 14</w:t>
      </w:r>
    </w:p>
    <w:p>
      <w:pPr>
        <w:pStyle w:val="Normal1"/>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keepNext w:val="true"/>
        <w:keepLines/>
        <w:pageBreakBefore w:val="false"/>
        <w:widowControl w:val="false"/>
        <w:pBdr/>
        <w:shd w:val="clear" w:fill="auto"/>
        <w:spacing w:lineRule="auto" w:line="240" w:before="0" w:after="0"/>
        <w:ind w:hanging="0" w:left="0" w:right="0"/>
        <w:jc w:val="center"/>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none"/>
          <w:shd w:fill="auto" w:val="clear"/>
          <w:vertAlign w:val="baseline"/>
        </w:rPr>
      </w:pPr>
      <w:bookmarkStart w:id="11" w:name="_heading=h.909023c3v8l3"/>
      <w:bookmarkEnd w:id="11"/>
      <w:r>
        <w:rPr>
          <w:rFonts w:eastAsia="Arial Narrow" w:cs="Arial Narrow" w:ascii="Arial Narrow" w:hAnsi="Arial Narrow"/>
          <w:b/>
          <w:bCs/>
          <w:i w:val="false"/>
          <w:iCs w:val="false"/>
          <w:caps w:val="false"/>
          <w:smallCaps w:val="false"/>
          <w:strike w:val="false"/>
          <w:dstrike w:val="false"/>
          <w:color w:val="000000"/>
          <w:position w:val="0"/>
          <w:sz w:val="22"/>
          <w:sz w:val="22"/>
          <w:szCs w:val="22"/>
          <w:u w:val="none"/>
          <w:shd w:fill="auto" w:val="clear"/>
          <w:vertAlign w:val="baseline"/>
        </w:rPr>
        <w:t xml:space="preserve">Acuerdo de Tratamiento de datos </w:t>
      </w:r>
    </w:p>
    <w:p>
      <w:pPr>
        <w:pStyle w:val="Normal1"/>
        <w:keepNext w:val="true"/>
        <w:keepLines/>
        <w:pageBreakBefore w:val="false"/>
        <w:widowControl w:val="false"/>
        <w:pBdr/>
        <w:shd w:val="clear" w:fill="auto"/>
        <w:spacing w:lineRule="auto" w:line="240" w:before="0" w:after="0"/>
        <w:ind w:hanging="0" w:left="0" w:right="0"/>
        <w:jc w:val="center"/>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none"/>
          <w:shd w:fill="auto" w:val="clear"/>
          <w:vertAlign w:val="baseline"/>
        </w:rPr>
      </w:pPr>
      <w:bookmarkStart w:id="12" w:name="_heading=h.8xxj31wq5qv5"/>
      <w:bookmarkEnd w:id="12"/>
      <w:r>
        <w:rPr>
          <w:rFonts w:eastAsia="Arial Narrow" w:cs="Arial Narrow" w:ascii="Arial Narrow" w:hAnsi="Arial Narrow"/>
          <w:b/>
          <w:bCs/>
          <w:i w:val="false"/>
          <w:iCs w:val="false"/>
          <w:caps w:val="false"/>
          <w:smallCaps w:val="false"/>
          <w:strike w:val="false"/>
          <w:dstrike w:val="false"/>
          <w:color w:val="000000"/>
          <w:position w:val="0"/>
          <w:sz w:val="22"/>
          <w:sz w:val="22"/>
          <w:szCs w:val="22"/>
          <w:u w:val="none"/>
          <w:shd w:fill="auto" w:val="clear"/>
          <w:vertAlign w:val="baseline"/>
        </w:rPr>
        <w:t>entre Responsable y Encargado del tratamiento</w:t>
      </w:r>
    </w:p>
    <w:p>
      <w:pPr>
        <w:pStyle w:val="Normal1"/>
        <w:spacing w:lineRule="auto" w:line="240" w:before="512" w:after="0"/>
        <w:jc w:val="center"/>
        <w:rPr>
          <w:rFonts w:ascii="Arial Narrow" w:hAnsi="Arial Narrow" w:eastAsia="Arial Narrow" w:cs="Arial Narrow"/>
          <w:b/>
          <w:bCs/>
          <w:sz w:val="22"/>
          <w:szCs w:val="22"/>
        </w:rPr>
      </w:pPr>
      <w:r>
        <w:rPr>
          <w:rFonts w:eastAsia="Arial Narrow" w:cs="Arial Narrow" w:ascii="Arial Narrow" w:hAnsi="Arial Narrow"/>
          <w:b/>
          <w:bCs/>
          <w:sz w:val="22"/>
          <w:szCs w:val="22"/>
        </w:rPr>
        <w:t>(Artículo 28 del GDPR)</w:t>
      </w:r>
    </w:p>
    <w:p>
      <w:pPr>
        <w:pStyle w:val="Normal1"/>
        <w:widowControl/>
        <w:spacing w:lineRule="auto" w:line="192" w:before="294" w:after="0"/>
        <w:jc w:val="center"/>
        <w:rPr>
          <w:rFonts w:ascii="Arial Narrow" w:hAnsi="Arial Narrow" w:eastAsia="Arial Narrow" w:cs="Arial Narrow"/>
          <w:sz w:val="22"/>
          <w:szCs w:val="22"/>
        </w:rPr>
      </w:pPr>
      <w:r>
        <w:rPr>
          <w:rFonts w:eastAsia="Arial Narrow" w:cs="Arial Narrow" w:ascii="Arial Narrow" w:hAnsi="Arial Narrow"/>
          <w:sz w:val="22"/>
          <w:szCs w:val="22"/>
        </w:rPr>
        <w:t>SECCIÓN I</w:t>
      </w:r>
    </w:p>
    <w:p>
      <w:pPr>
        <w:pStyle w:val="Normal1"/>
        <w:widowControl/>
        <w:spacing w:lineRule="auto" w:line="216" w:before="433"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1</w:t>
      </w:r>
    </w:p>
    <w:p>
      <w:pPr>
        <w:pStyle w:val="Normal1"/>
        <w:widowControl/>
        <w:spacing w:lineRule="auto" w:line="235" w:before="206"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Finalidad y ámbito de aplicación</w:t>
      </w:r>
    </w:p>
    <w:p>
      <w:pPr>
        <w:pStyle w:val="Normal1"/>
        <w:widowControl/>
        <w:numPr>
          <w:ilvl w:val="0"/>
          <w:numId w:val="3"/>
        </w:numPr>
        <w:tabs>
          <w:tab w:val="clear" w:pos="720"/>
          <w:tab w:val="left" w:pos="792" w:leader="none"/>
        </w:tabs>
        <w:spacing w:lineRule="auto" w:line="211" w:before="116"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La finalidad de las presentes cláusulas (en adelante, las “Cláusulas”) es garantizar que se cumpla el artículo 28, apartados 3 y 4,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responsables y encargados del tratamiento enumerados en el Apéndice I han dado su consentimiento a vincularse por las presentes  Cláusulas a fin de garantizar el cumplimiento del artículo 28, apartados 3 y 4, del Reglamento (UE) 2016/679.</w:t>
      </w:r>
    </w:p>
    <w:p>
      <w:pPr>
        <w:pStyle w:val="Normal1"/>
        <w:widowControl/>
        <w:numPr>
          <w:ilvl w:val="0"/>
          <w:numId w:val="3"/>
        </w:numPr>
        <w:tabs>
          <w:tab w:val="clear" w:pos="720"/>
          <w:tab w:val="left" w:pos="792" w:leader="none"/>
        </w:tabs>
        <w:spacing w:lineRule="auto" w:line="228" w:before="107" w:after="0"/>
        <w:ind w:hanging="288" w:left="792"/>
        <w:jc w:val="both"/>
        <w:rPr>
          <w:rFonts w:ascii="Times New Roman" w:hAnsi="Times New Roman" w:eastAsia="Times New Roman" w:cs="Times New Roman"/>
          <w:sz w:val="22"/>
          <w:szCs w:val="22"/>
          <w:highlight w:val="white"/>
        </w:rPr>
      </w:pPr>
      <w:r>
        <w:rPr>
          <w:rFonts w:eastAsia="Arial Narrow" w:cs="Arial Narrow" w:ascii="Arial Narrow" w:hAnsi="Arial Narrow"/>
          <w:sz w:val="22"/>
          <w:szCs w:val="22"/>
          <w:highlight w:val="white"/>
        </w:rPr>
        <w:t xml:space="preserve">Las presentes Cláusulas se aplican al tratamiento de datos personales especificado en el </w:t>
      </w:r>
      <w:r>
        <w:rPr>
          <w:rFonts w:eastAsia="Arial Narrow" w:cs="Arial Narrow" w:ascii="Arial Narrow" w:hAnsi="Arial Narrow"/>
          <w:b/>
          <w:bCs/>
          <w:sz w:val="22"/>
          <w:szCs w:val="22"/>
          <w:highlight w:val="white"/>
        </w:rPr>
        <w:t>Apéndice I.</w:t>
      </w:r>
    </w:p>
    <w:p>
      <w:pPr>
        <w:pStyle w:val="Normal1"/>
        <w:widowControl/>
        <w:numPr>
          <w:ilvl w:val="0"/>
          <w:numId w:val="3"/>
        </w:numPr>
        <w:tabs>
          <w:tab w:val="clear" w:pos="720"/>
          <w:tab w:val="left" w:pos="792" w:leader="none"/>
        </w:tabs>
        <w:spacing w:lineRule="auto" w:line="228" w:before="102" w:after="0"/>
        <w:ind w:hanging="288" w:left="792"/>
        <w:jc w:val="both"/>
        <w:rPr>
          <w:rFonts w:ascii="Times New Roman" w:hAnsi="Times New Roman" w:eastAsia="Times New Roman" w:cs="Times New Roman"/>
          <w:sz w:val="22"/>
          <w:szCs w:val="22"/>
          <w:highlight w:val="white"/>
        </w:rPr>
      </w:pPr>
      <w:r>
        <w:rPr>
          <w:rFonts w:eastAsia="Arial Narrow" w:cs="Arial Narrow" w:ascii="Arial Narrow" w:hAnsi="Arial Narrow"/>
          <w:sz w:val="22"/>
          <w:szCs w:val="22"/>
          <w:highlight w:val="white"/>
        </w:rPr>
        <w:t xml:space="preserve">Los </w:t>
      </w:r>
      <w:r>
        <w:rPr>
          <w:rFonts w:eastAsia="Arial Narrow" w:cs="Arial Narrow" w:ascii="Arial Narrow" w:hAnsi="Arial Narrow"/>
          <w:b/>
          <w:bCs/>
          <w:sz w:val="22"/>
          <w:szCs w:val="22"/>
          <w:highlight w:val="white"/>
        </w:rPr>
        <w:t>Apéndices I a III</w:t>
      </w:r>
      <w:r>
        <w:rPr>
          <w:rFonts w:eastAsia="Arial Narrow" w:cs="Arial Narrow" w:ascii="Arial Narrow" w:hAnsi="Arial Narrow"/>
          <w:sz w:val="22"/>
          <w:szCs w:val="22"/>
          <w:highlight w:val="white"/>
        </w:rPr>
        <w:t xml:space="preserve"> forman parte de las presentes Cláusulas. </w:t>
      </w:r>
    </w:p>
    <w:p>
      <w:pPr>
        <w:pStyle w:val="Normal1"/>
        <w:widowControl/>
        <w:numPr>
          <w:ilvl w:val="0"/>
          <w:numId w:val="3"/>
        </w:numPr>
        <w:spacing w:lineRule="auto" w:line="211" w:before="119"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highlight w:val="white"/>
        </w:rPr>
        <w:t>Las presentes Cláusulas se entienden sin perjuicio de las obligaciones a las que e</w:t>
      </w:r>
      <w:r>
        <w:rPr>
          <w:rFonts w:eastAsia="Arial Narrow" w:cs="Arial Narrow" w:ascii="Arial Narrow" w:hAnsi="Arial Narrow"/>
          <w:sz w:val="22"/>
          <w:szCs w:val="22"/>
        </w:rPr>
        <w:t>sté sujeto el responsable en virtud del Reglamento (UE) 2016/679.Las presentes Cláusulas no garantizan por sí mismas el cumplimiento de las obligaciones relativas a las transferencias internacionales contempladas en el capítulo V del Reglamento (UE) 2016/679.</w:t>
      </w:r>
    </w:p>
    <w:p>
      <w:pPr>
        <w:pStyle w:val="Normal1"/>
        <w:widowControl/>
        <w:spacing w:lineRule="auto" w:line="211" w:before="119"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spacing w:lineRule="auto" w:line="211" w:before="119" w:after="0"/>
        <w:ind w:right="504"/>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2</w:t>
      </w:r>
    </w:p>
    <w:p>
      <w:pPr>
        <w:pStyle w:val="Normal1"/>
        <w:widowControl/>
        <w:spacing w:lineRule="auto" w:line="235" w:before="202"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Invariabilidad de las cláusulas</w:t>
      </w:r>
    </w:p>
    <w:p>
      <w:pPr>
        <w:pStyle w:val="Normal1"/>
        <w:widowControl/>
        <w:numPr>
          <w:ilvl w:val="0"/>
          <w:numId w:val="21"/>
        </w:numPr>
        <w:tabs>
          <w:tab w:val="clear" w:pos="720"/>
          <w:tab w:val="left" w:pos="792" w:leader="none"/>
        </w:tabs>
        <w:spacing w:lineRule="auto" w:line="216" w:before="112"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Las partes se comprometen a no modificar las presentes Cláusulas, excepto para añadir o actualizar información en los Apéndices.</w:t>
      </w:r>
    </w:p>
    <w:p>
      <w:pPr>
        <w:pStyle w:val="Normal1"/>
        <w:widowControl/>
        <w:numPr>
          <w:ilvl w:val="0"/>
          <w:numId w:val="21"/>
        </w:numPr>
        <w:tabs>
          <w:tab w:val="clear" w:pos="720"/>
          <w:tab w:val="left" w:pos="792" w:leader="none"/>
        </w:tabs>
        <w:spacing w:lineRule="auto" w:line="211" w:before="119"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Esto no es óbice para que las partes incluyan en un contrato más amplio las presentes Cláusulas, ni para que añadan otras cláusulas o garantías adicionales siempre que no contradigan, directa o indirectamente, las presentes Cláusulas ni perjudiquen los derechos o libertades fundamentales de los interesados.</w:t>
      </w:r>
    </w:p>
    <w:p>
      <w:pPr>
        <w:pStyle w:val="Normal1"/>
        <w:widowControl/>
        <w:spacing w:lineRule="auto" w:line="427" w:before="224"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3</w:t>
        <w:br/>
      </w:r>
      <w:r>
        <w:rPr>
          <w:rFonts w:eastAsia="Arial Narrow" w:cs="Arial Narrow" w:ascii="Arial Narrow" w:hAnsi="Arial Narrow"/>
          <w:b/>
          <w:bCs/>
          <w:i/>
          <w:iCs/>
          <w:sz w:val="22"/>
          <w:szCs w:val="22"/>
        </w:rPr>
        <w:t>Interpretación</w:t>
      </w:r>
    </w:p>
    <w:p>
      <w:pPr>
        <w:pStyle w:val="Normal1"/>
        <w:widowControl/>
        <w:numPr>
          <w:ilvl w:val="0"/>
          <w:numId w:val="17"/>
        </w:numPr>
        <w:tabs>
          <w:tab w:val="clear" w:pos="720"/>
          <w:tab w:val="left" w:pos="792" w:leader="none"/>
        </w:tabs>
        <w:spacing w:lineRule="auto" w:line="216" w:before="113"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Cuando en las presentes Cláusulas se utilizan términos definidos en el Reglamento (UE) 2016/679, se entiende que tienen el mismo significado que en dicho Reglamento.</w:t>
      </w:r>
    </w:p>
    <w:p>
      <w:pPr>
        <w:pStyle w:val="Normal1"/>
        <w:widowControl/>
        <w:numPr>
          <w:ilvl w:val="0"/>
          <w:numId w:val="17"/>
        </w:numPr>
        <w:tabs>
          <w:tab w:val="clear" w:pos="720"/>
          <w:tab w:val="left" w:pos="792" w:leader="none"/>
        </w:tabs>
        <w:spacing w:lineRule="auto" w:line="216" w:before="115"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Las presentes Cláusulas deberán leerse e interpretarse con arreglo a las disposiciones del Reglamento (UE) 2016/679.</w:t>
      </w:r>
    </w:p>
    <w:p>
      <w:pPr>
        <w:pStyle w:val="Normal1"/>
        <w:widowControl/>
        <w:numPr>
          <w:ilvl w:val="0"/>
          <w:numId w:val="17"/>
        </w:numPr>
        <w:tabs>
          <w:tab w:val="clear" w:pos="720"/>
          <w:tab w:val="left" w:pos="792" w:leader="none"/>
        </w:tabs>
        <w:spacing w:lineRule="auto" w:line="211" w:before="119"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No se podrán realizar interpretaciones de las presentes Cláusulas que entren en conflicto con los derechos y obligaciones establecidos en el Reglamento (UE) 2016/679.</w:t>
      </w:r>
    </w:p>
    <w:p>
      <w:pPr>
        <w:pStyle w:val="Normal1"/>
        <w:widowControl/>
        <w:spacing w:lineRule="auto" w:line="432" w:before="214"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4</w:t>
        <w:br/>
      </w:r>
      <w:r>
        <w:rPr>
          <w:rFonts w:eastAsia="Arial Narrow" w:cs="Arial Narrow" w:ascii="Arial Narrow" w:hAnsi="Arial Narrow"/>
          <w:b/>
          <w:bCs/>
          <w:i/>
          <w:iCs/>
          <w:sz w:val="22"/>
          <w:szCs w:val="22"/>
        </w:rPr>
        <w:t>Jerarquía</w:t>
      </w:r>
    </w:p>
    <w:p>
      <w:pPr>
        <w:pStyle w:val="Normal1"/>
        <w:widowControl/>
        <w:spacing w:lineRule="auto" w:line="211" w:before="117" w:after="0"/>
        <w:ind w:hanging="0" w:left="504" w:right="504"/>
        <w:jc w:val="both"/>
        <w:rPr>
          <w:rFonts w:ascii="Arial Narrow" w:hAnsi="Arial Narrow" w:eastAsia="Arial Narrow" w:cs="Arial Narrow"/>
          <w:i/>
          <w:i/>
          <w:iCs/>
          <w:sz w:val="22"/>
          <w:szCs w:val="22"/>
        </w:rPr>
      </w:pPr>
      <w:r>
        <w:rPr>
          <w:rFonts w:eastAsia="Arial Narrow" w:cs="Arial Narrow" w:ascii="Arial Narrow" w:hAnsi="Arial Narrow"/>
          <w:sz w:val="22"/>
          <w:szCs w:val="22"/>
        </w:rPr>
        <w:t>En caso de contradicción entre las presentes Cláusulas y las disposiciones de acuerdos conexos entre las partes que estuvieren en vigor en el momento en que se pactare o comenzare a aplicarse las presentes Cláusulas, prevalecerán las presentes Cláusulas.</w:t>
      </w:r>
    </w:p>
    <w:p>
      <w:pPr>
        <w:pStyle w:val="Normal1"/>
        <w:widowControl/>
        <w:spacing w:lineRule="auto" w:line="211" w:before="117" w:after="0"/>
        <w:ind w:hanging="0" w:left="4824" w:right="504"/>
        <w:jc w:val="both"/>
        <w:rPr>
          <w:rFonts w:ascii="Arial Narrow" w:hAnsi="Arial Narrow" w:eastAsia="Arial Narrow" w:cs="Arial Narrow"/>
          <w:i/>
          <w:i/>
          <w:iCs/>
          <w:sz w:val="22"/>
          <w:szCs w:val="22"/>
        </w:rPr>
      </w:pPr>
      <w:r>
        <w:rPr>
          <w:rFonts w:eastAsia="Arial Narrow" w:cs="Arial Narrow" w:ascii="Arial Narrow" w:hAnsi="Arial Narrow"/>
          <w:i/>
          <w:iCs/>
          <w:sz w:val="22"/>
          <w:szCs w:val="22"/>
        </w:rPr>
      </w:r>
    </w:p>
    <w:p>
      <w:pPr>
        <w:pStyle w:val="Normal1"/>
        <w:widowControl/>
        <w:spacing w:lineRule="auto" w:line="211" w:before="117" w:after="0"/>
        <w:ind w:firstLine="720" w:left="3600" w:right="504"/>
        <w:jc w:val="both"/>
        <w:rPr>
          <w:rFonts w:ascii="Arial Narrow" w:hAnsi="Arial Narrow" w:eastAsia="Arial Narrow" w:cs="Arial Narrow"/>
          <w:i/>
          <w:i/>
          <w:iCs/>
          <w:sz w:val="22"/>
          <w:szCs w:val="22"/>
        </w:rPr>
      </w:pPr>
      <w:r>
        <w:rPr>
          <w:rFonts w:eastAsia="Arial Narrow" w:cs="Arial Narrow" w:ascii="Arial Narrow" w:hAnsi="Arial Narrow"/>
          <w:i/>
          <w:iCs/>
          <w:sz w:val="22"/>
          <w:szCs w:val="22"/>
        </w:rPr>
        <w:t xml:space="preserve">      </w:t>
      </w:r>
      <w:r>
        <w:rPr>
          <w:rFonts w:eastAsia="Arial Narrow" w:cs="Arial Narrow" w:ascii="Arial Narrow" w:hAnsi="Arial Narrow"/>
          <w:i/>
          <w:iCs/>
          <w:sz w:val="22"/>
          <w:szCs w:val="22"/>
        </w:rPr>
        <w:t>C</w:t>
      </w:r>
      <w:r>
        <mc:AlternateContent>
          <mc:Choice Requires="wps">
            <w:drawing>
              <wp:anchor behindDoc="0" distT="0" distB="0" distL="0" distR="0" simplePos="0" locked="0" layoutInCell="0" allowOverlap="1" relativeHeight="36">
                <wp:simplePos x="0" y="0"/>
                <wp:positionH relativeFrom="page">
                  <wp:posOffset>-15875</wp:posOffset>
                </wp:positionH>
                <wp:positionV relativeFrom="page">
                  <wp:posOffset>-9525</wp:posOffset>
                </wp:positionV>
                <wp:extent cx="31750" cy="31750"/>
                <wp:effectExtent l="5080" t="5080" r="5715" b="5715"/>
                <wp:wrapNone/>
                <wp:docPr id="1" name="Forma1"/>
                <a:graphic xmlns:a="http://schemas.openxmlformats.org/drawingml/2006/main">
                  <a:graphicData uri="http://schemas.microsoft.com/office/word/2010/wordprocessingShape">
                    <wps:wsp>
                      <wps:cNvSpPr/>
                      <wps:spPr>
                        <a:xfrm>
                          <a:off x="0" y="0"/>
                          <a:ext cx="31680" cy="3168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type id="_x0000_t32" coordsize="21600,21600" o:spt="32" path="m,l21600,21600nfe">
                <v:stroke joinstyle="miter"/>
                <v:path gradientshapeok="t" o:connecttype="rect" textboxrect="0,0,21600,21600"/>
              </v:shapetype>
              <v:shape id="shape_0" ID="Forma1" path="m0,0l-2147483648,-2147483647e" fillcolor="white" stroked="t" o:allowincell="f" style="position:absolute;margin-left:-1.25pt;margin-top:-0.75pt;width:2.45pt;height:2.45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r>
        <w:rPr>
          <w:rFonts w:eastAsia="Arial Narrow" w:cs="Arial Narrow" w:ascii="Arial Narrow" w:hAnsi="Arial Narrow"/>
          <w:i/>
          <w:iCs/>
          <w:sz w:val="22"/>
          <w:szCs w:val="22"/>
        </w:rPr>
        <w:t xml:space="preserve">láusula 5 </w:t>
      </w:r>
    </w:p>
    <w:p>
      <w:pPr>
        <w:pStyle w:val="Normal1"/>
        <w:widowControl/>
        <w:spacing w:lineRule="auto" w:line="220" w:before="320"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 xml:space="preserve">(sin contenido)  </w:t>
      </w:r>
    </w:p>
    <w:p>
      <w:pPr>
        <w:pStyle w:val="Normal1"/>
        <w:widowControl/>
        <w:spacing w:lineRule="auto" w:line="220" w:before="320"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r>
    </w:p>
    <w:p>
      <w:pPr>
        <w:pStyle w:val="Normal1"/>
        <w:widowControl/>
        <w:spacing w:lineRule="auto" w:line="220" w:before="320" w:after="0"/>
        <w:jc w:val="center"/>
        <w:rPr>
          <w:rFonts w:ascii="Arial Narrow" w:hAnsi="Arial Narrow" w:eastAsia="Arial Narrow" w:cs="Arial Narrow"/>
          <w:sz w:val="22"/>
          <w:szCs w:val="22"/>
        </w:rPr>
      </w:pPr>
      <w:r>
        <w:rPr>
          <w:rFonts w:eastAsia="Arial Narrow" w:cs="Arial Narrow" w:ascii="Arial Narrow" w:hAnsi="Arial Narrow"/>
          <w:sz w:val="22"/>
          <w:szCs w:val="22"/>
        </w:rPr>
        <w:t>SECCIÓN II</w:t>
      </w:r>
    </w:p>
    <w:p>
      <w:pPr>
        <w:pStyle w:val="Normal1"/>
        <w:widowControl/>
        <w:spacing w:lineRule="auto" w:line="196" w:before="219" w:after="0"/>
        <w:jc w:val="center"/>
        <w:rPr>
          <w:rFonts w:ascii="Arial Narrow" w:hAnsi="Arial Narrow" w:eastAsia="Arial Narrow" w:cs="Arial Narrow"/>
          <w:b/>
          <w:bCs/>
          <w:sz w:val="22"/>
          <w:szCs w:val="22"/>
        </w:rPr>
      </w:pPr>
      <w:r>
        <w:rPr>
          <w:rFonts w:eastAsia="Arial Narrow" w:cs="Arial Narrow" w:ascii="Arial Narrow" w:hAnsi="Arial Narrow"/>
          <w:b/>
          <w:bCs/>
          <w:sz w:val="22"/>
          <w:szCs w:val="22"/>
        </w:rPr>
        <w:t>OBLIGACIONES DE LAS PARTES</w:t>
      </w:r>
    </w:p>
    <w:p>
      <w:pPr>
        <w:pStyle w:val="Normal1"/>
        <w:widowControl/>
        <w:spacing w:lineRule="auto" w:line="220" w:before="449"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6</w:t>
      </w:r>
    </w:p>
    <w:p>
      <w:pPr>
        <w:pStyle w:val="Normal1"/>
        <w:widowControl/>
        <w:spacing w:lineRule="auto" w:line="235" w:before="201"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Descripción del tratamiento o tratamientos</w:t>
      </w:r>
    </w:p>
    <w:p>
      <w:pPr>
        <w:pStyle w:val="Normal1"/>
        <w:widowControl/>
        <w:spacing w:lineRule="auto" w:line="216" w:before="122"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En el </w:t>
      </w:r>
      <w:r>
        <w:rPr>
          <w:rFonts w:eastAsia="Arial Narrow" w:cs="Arial Narrow" w:ascii="Arial Narrow" w:hAnsi="Arial Narrow"/>
          <w:b/>
          <w:bCs/>
          <w:sz w:val="22"/>
          <w:szCs w:val="22"/>
        </w:rPr>
        <w:t xml:space="preserve">Apéndice I </w:t>
      </w:r>
      <w:r>
        <w:rPr>
          <w:rFonts w:eastAsia="Arial Narrow" w:cs="Arial Narrow" w:ascii="Arial Narrow" w:hAnsi="Arial Narrow"/>
          <w:sz w:val="22"/>
          <w:szCs w:val="22"/>
        </w:rPr>
        <w:t>se especifican los pormenores de las operaciones de tratamiento y, en particular, las categorías de datos personales y los fines para los que se tratan los datos personales por cuenta del responsable.</w:t>
      </w:r>
    </w:p>
    <w:p>
      <w:pPr>
        <w:pStyle w:val="Normal1"/>
        <w:widowControl/>
        <w:spacing w:lineRule="auto" w:line="220" w:before="433"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7</w:t>
      </w:r>
    </w:p>
    <w:p>
      <w:pPr>
        <w:pStyle w:val="Normal1"/>
        <w:widowControl/>
        <w:spacing w:lineRule="auto" w:line="235" w:before="206"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Obligaciones de las partes</w:t>
      </w:r>
    </w:p>
    <w:p>
      <w:pPr>
        <w:pStyle w:val="Normal1"/>
        <w:widowControl/>
        <w:spacing w:lineRule="auto" w:line="237" w:before="204" w:after="0"/>
        <w:ind w:hanging="0" w:left="504"/>
        <w:rPr>
          <w:rFonts w:ascii="Arial Narrow" w:hAnsi="Arial Narrow" w:eastAsia="Arial Narrow" w:cs="Arial Narrow"/>
          <w:sz w:val="22"/>
          <w:szCs w:val="22"/>
        </w:rPr>
      </w:pPr>
      <w:r>
        <w:rPr>
          <w:rFonts w:eastAsia="Arial Narrow" w:cs="Arial Narrow" w:ascii="Arial Narrow" w:hAnsi="Arial Narrow"/>
          <w:sz w:val="22"/>
          <w:szCs w:val="22"/>
        </w:rPr>
        <w:t xml:space="preserve">7.1. </w:t>
      </w:r>
      <w:r>
        <w:rPr>
          <w:rFonts w:eastAsia="Arial Narrow" w:cs="Arial Narrow" w:ascii="Arial Narrow" w:hAnsi="Arial Narrow"/>
          <w:b/>
          <w:bCs/>
          <w:sz w:val="22"/>
          <w:szCs w:val="22"/>
        </w:rPr>
        <w:t>Instrucciones</w:t>
      </w:r>
    </w:p>
    <w:p>
      <w:pPr>
        <w:pStyle w:val="Normal1"/>
        <w:widowControl/>
        <w:numPr>
          <w:ilvl w:val="0"/>
          <w:numId w:val="26"/>
        </w:numPr>
        <w:tabs>
          <w:tab w:val="clear" w:pos="720"/>
          <w:tab w:val="left" w:pos="792" w:leader="none"/>
        </w:tabs>
        <w:spacing w:lineRule="auto" w:line="211" w:before="121"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tratará los datos personales únicamente siguiendo instrucciones documentadas del responsable, salvo que esté obligado a ello en virtud del Derecho de la Unión o de los Estados miembros que se aplique al encargado. En tal caso, el encargado informará al responsable de esa exigencia legal previa al tratamiento, salvo que tal Derecho lo prohíba por razones importantes de interés público. El responsable también podrá dar instrucciones ulteriores en cualquier momento del período de tratamiento de los datos personales. Dichas instrucciones deberán estar siempre documentadas.</w:t>
      </w:r>
    </w:p>
    <w:p>
      <w:pPr>
        <w:pStyle w:val="Normal1"/>
        <w:widowControl/>
        <w:numPr>
          <w:ilvl w:val="0"/>
          <w:numId w:val="26"/>
        </w:numPr>
        <w:tabs>
          <w:tab w:val="clear" w:pos="720"/>
          <w:tab w:val="left" w:pos="792" w:leader="none"/>
        </w:tabs>
        <w:spacing w:lineRule="auto" w:line="208" w:before="130"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informará inmediatamente al responsable si las instrucciones dadas por el responsable infringen, a juicio del encargado, el Reglamento (UE) 2016/679, o las disposiciones aplicables del Derecho de la Unión o de los Estados miembros en materia de protección de datos.</w:t>
      </w:r>
    </w:p>
    <w:p>
      <w:pPr>
        <w:pStyle w:val="Normal1"/>
        <w:widowControl/>
        <w:spacing w:lineRule="auto" w:line="237" w:before="303" w:after="0"/>
        <w:ind w:hanging="0" w:left="504"/>
        <w:rPr>
          <w:rFonts w:ascii="Arial Narrow" w:hAnsi="Arial Narrow" w:eastAsia="Arial Narrow" w:cs="Arial Narrow"/>
          <w:sz w:val="22"/>
          <w:szCs w:val="22"/>
        </w:rPr>
      </w:pPr>
      <w:r>
        <w:rPr>
          <w:rFonts w:eastAsia="Arial Narrow" w:cs="Arial Narrow" w:ascii="Arial Narrow" w:hAnsi="Arial Narrow"/>
          <w:sz w:val="22"/>
          <w:szCs w:val="22"/>
        </w:rPr>
        <w:t xml:space="preserve">7.2. </w:t>
      </w:r>
      <w:r>
        <w:rPr>
          <w:rFonts w:eastAsia="Arial Narrow" w:cs="Arial Narrow" w:ascii="Arial Narrow" w:hAnsi="Arial Narrow"/>
          <w:b/>
          <w:bCs/>
          <w:sz w:val="22"/>
          <w:szCs w:val="22"/>
        </w:rPr>
        <w:t>Limitación de la finalidad</w:t>
      </w:r>
    </w:p>
    <w:p>
      <w:pPr>
        <w:pStyle w:val="Normal1"/>
        <w:widowControl/>
        <w:spacing w:lineRule="auto" w:line="208" w:before="127"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El encargado tratará los datos personales únicamente para los fines específicos del tratamiento indicados en el </w:t>
      </w:r>
      <w:r>
        <w:rPr>
          <w:rFonts w:eastAsia="Arial Narrow" w:cs="Arial Narrow" w:ascii="Arial Narrow" w:hAnsi="Arial Narrow"/>
          <w:b/>
          <w:bCs/>
          <w:sz w:val="22"/>
          <w:szCs w:val="22"/>
        </w:rPr>
        <w:t>Apéndice I</w:t>
      </w:r>
      <w:r>
        <w:rPr>
          <w:rFonts w:eastAsia="Arial Narrow" w:cs="Arial Narrow" w:ascii="Arial Narrow" w:hAnsi="Arial Narrow"/>
          <w:sz w:val="22"/>
          <w:szCs w:val="22"/>
        </w:rPr>
        <w:t>,salvo cuando siga instrucciones adicionales del responsable.</w:t>
      </w:r>
    </w:p>
    <w:p>
      <w:pPr>
        <w:pStyle w:val="Normal1"/>
        <w:widowControl/>
        <w:spacing w:lineRule="auto" w:line="237" w:before="302" w:after="0"/>
        <w:ind w:hanging="0" w:left="504"/>
        <w:rPr>
          <w:rFonts w:ascii="Arial Narrow" w:hAnsi="Arial Narrow" w:eastAsia="Arial Narrow" w:cs="Arial Narrow"/>
          <w:sz w:val="22"/>
          <w:szCs w:val="22"/>
        </w:rPr>
      </w:pPr>
      <w:r>
        <w:rPr>
          <w:rFonts w:eastAsia="Arial Narrow" w:cs="Arial Narrow" w:ascii="Arial Narrow" w:hAnsi="Arial Narrow"/>
          <w:sz w:val="22"/>
          <w:szCs w:val="22"/>
        </w:rPr>
        <w:t xml:space="preserve">7.3. </w:t>
      </w:r>
      <w:r>
        <w:rPr>
          <w:rFonts w:eastAsia="Arial Narrow" w:cs="Arial Narrow" w:ascii="Arial Narrow" w:hAnsi="Arial Narrow"/>
          <w:b/>
          <w:bCs/>
          <w:sz w:val="22"/>
          <w:szCs w:val="22"/>
        </w:rPr>
        <w:t>Duración del tratamiento de datos personales</w:t>
      </w:r>
    </w:p>
    <w:p>
      <w:pPr>
        <w:pStyle w:val="Normal1"/>
        <w:widowControl/>
        <w:ind w:hanging="0" w:left="504" w:right="450"/>
        <w:rPr>
          <w:rFonts w:ascii="Arial Narrow" w:hAnsi="Arial Narrow" w:eastAsia="Arial Narrow" w:cs="Arial Narrow"/>
          <w:b/>
          <w:bCs/>
          <w:sz w:val="22"/>
          <w:szCs w:val="22"/>
        </w:rPr>
      </w:pPr>
      <w:r>
        <w:rPr>
          <w:rFonts w:eastAsia="Arial Narrow" w:cs="Arial Narrow" w:ascii="Arial Narrow" w:hAnsi="Arial Narrow"/>
          <w:sz w:val="22"/>
          <w:szCs w:val="22"/>
        </w:rPr>
        <w:t xml:space="preserve">El tratamiento por parte del encargado solo se realizará durante el período especificado en el </w:t>
      </w:r>
      <w:r>
        <w:rPr>
          <w:rFonts w:eastAsia="Arial Narrow" w:cs="Arial Narrow" w:ascii="Arial Narrow" w:hAnsi="Arial Narrow"/>
          <w:b/>
          <w:bCs/>
          <w:sz w:val="22"/>
          <w:szCs w:val="22"/>
        </w:rPr>
        <w:t>Apéndice I.</w:t>
      </w:r>
    </w:p>
    <w:p>
      <w:pPr>
        <w:pStyle w:val="Normal1"/>
        <w:widowControl/>
        <w:ind w:hanging="0" w:left="504" w:right="450"/>
        <w:rPr>
          <w:rFonts w:ascii="Arial Narrow" w:hAnsi="Arial Narrow" w:eastAsia="Arial Narrow" w:cs="Arial Narrow"/>
          <w:b/>
          <w:bCs/>
          <w:sz w:val="22"/>
          <w:szCs w:val="22"/>
        </w:rPr>
      </w:pPr>
      <w:r>
        <w:rPr>
          <w:rFonts w:eastAsia="Arial Narrow" w:cs="Arial Narrow" w:ascii="Arial Narrow" w:hAnsi="Arial Narrow"/>
          <w:b/>
          <w:bCs/>
          <w:sz w:val="22"/>
          <w:szCs w:val="22"/>
        </w:rPr>
      </w:r>
    </w:p>
    <w:p>
      <w:pPr>
        <w:pStyle w:val="Normal1"/>
        <w:widowControl/>
        <w:spacing w:lineRule="auto" w:line="436"/>
        <w:ind w:hanging="0" w:left="504" w:right="2088"/>
        <w:rPr>
          <w:rFonts w:ascii="Arial Narrow" w:hAnsi="Arial Narrow" w:eastAsia="Arial Narrow" w:cs="Arial Narrow"/>
          <w:sz w:val="22"/>
          <w:szCs w:val="22"/>
        </w:rPr>
      </w:pPr>
      <w:r>
        <w:rPr>
          <w:rFonts w:eastAsia="Arial Narrow" w:cs="Arial Narrow" w:ascii="Arial Narrow" w:hAnsi="Arial Narrow"/>
          <w:sz w:val="22"/>
          <w:szCs w:val="22"/>
        </w:rPr>
        <w:t xml:space="preserve">7.4. </w:t>
      </w:r>
      <w:r>
        <w:rPr>
          <w:rFonts w:eastAsia="Arial Narrow" w:cs="Arial Narrow" w:ascii="Arial Narrow" w:hAnsi="Arial Narrow"/>
          <w:b/>
          <w:bCs/>
          <w:sz w:val="22"/>
          <w:szCs w:val="22"/>
        </w:rPr>
        <w:t>Seguridad del tratamiento</w:t>
      </w:r>
    </w:p>
    <w:p>
      <w:pPr>
        <w:pStyle w:val="Normal1"/>
        <w:widowControl/>
        <w:numPr>
          <w:ilvl w:val="0"/>
          <w:numId w:val="15"/>
        </w:numPr>
        <w:tabs>
          <w:tab w:val="clear" w:pos="720"/>
          <w:tab w:val="left" w:pos="792" w:leader="none"/>
        </w:tabs>
        <w:spacing w:lineRule="auto" w:line="211" w:before="131" w:after="0"/>
        <w:ind w:hanging="288" w:left="792" w:right="504"/>
        <w:jc w:val="both"/>
        <w:rPr>
          <w:rFonts w:ascii="Times New Roman" w:hAnsi="Times New Roman" w:eastAsia="Times New Roman" w:cs="Times New Roman"/>
          <w:sz w:val="22"/>
          <w:szCs w:val="22"/>
        </w:rPr>
      </w:pPr>
      <w:r>
        <w:rPr>
          <w:rFonts w:eastAsia="Arial Narrow" w:cs="Arial Narrow" w:ascii="Arial Narrow" w:hAnsi="Arial Narrow"/>
          <w:sz w:val="22"/>
          <w:szCs w:val="22"/>
        </w:rPr>
        <w:t>El encargado aplicará, como mínimo, las medidas técnicas y organizativas ( también referidas como TOMs) especificadas en el</w:t>
      </w:r>
      <w:r>
        <w:rPr>
          <w:rFonts w:eastAsia="Arial Narrow" w:cs="Arial Narrow" w:ascii="Arial Narrow" w:hAnsi="Arial Narrow"/>
          <w:b/>
          <w:bCs/>
          <w:sz w:val="22"/>
          <w:szCs w:val="22"/>
        </w:rPr>
        <w:t xml:space="preserve"> Apéndice I </w:t>
      </w:r>
      <w:r>
        <w:rPr>
          <w:rFonts w:eastAsia="Arial Narrow" w:cs="Arial Narrow" w:ascii="Arial Narrow" w:hAnsi="Arial Narrow"/>
          <w:sz w:val="22"/>
          <w:szCs w:val="22"/>
        </w:rPr>
        <w:t>para garantizar la seguridad de los datos personales. Una de estas medidas podrá consistir en la protección contra violaciones de la seguridad que ocasionen la destrucción, pérdida o alteración accidental o ilícita de datos personales, o la comunicación o acceso no autorizados a dichos datos («violación de la seguridad de los datos personales»). A la hora de determinar un nivel adecuado de seguridad, las partes tendrán debidamente en cuenta el estado de la técnica, los costes de aplicación, la naturaleza, el alcance, el contexto y los fines del tratamiento, y los riesgos que entraña el tratamiento para los interesados.</w:t>
      </w:r>
    </w:p>
    <w:p>
      <w:pPr>
        <w:pStyle w:val="Normal1"/>
        <w:widowControl/>
        <w:numPr>
          <w:ilvl w:val="0"/>
          <w:numId w:val="15"/>
        </w:numPr>
        <w:tabs>
          <w:tab w:val="clear" w:pos="720"/>
          <w:tab w:val="left" w:pos="792" w:leader="none"/>
        </w:tabs>
        <w:spacing w:lineRule="auto" w:line="211" w:before="127"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solo concederá acceso a los datos personales tratados a los miembros de su personal en la medida en que sea estrictamente necesario para la ejecución, la gestión y el seguimiento del contrato. El encargado garantizará que las personas autorizadas para tratar los datos personales recibidos se hayan comprometido a respetar la confidencialidad o estén sujetas a una obligación de confidencialidad de naturaleza estatutaria.</w:t>
      </w:r>
    </w:p>
    <w:p>
      <w:pPr>
        <w:pStyle w:val="Normal1"/>
        <w:widowControl/>
        <w:numPr>
          <w:ilvl w:val="0"/>
          <w:numId w:val="15"/>
        </w:numPr>
        <w:tabs>
          <w:tab w:val="clear" w:pos="720"/>
          <w:tab w:val="left" w:pos="792" w:leader="none"/>
        </w:tabs>
        <w:spacing w:lineRule="auto" w:line="211" w:before="127" w:after="0"/>
        <w:ind w:hanging="288" w:left="792" w:right="504"/>
        <w:jc w:val="both"/>
        <w:rPr>
          <w:rFonts w:ascii="Times New Roman" w:hAnsi="Times New Roman" w:eastAsia="Times New Roman" w:cs="Times New Roman"/>
          <w:sz w:val="22"/>
          <w:szCs w:val="22"/>
        </w:rPr>
      </w:pPr>
      <w:r>
        <w:rPr>
          <w:rFonts w:eastAsia="Arial Narrow" w:cs="Arial Narrow" w:ascii="Arial Narrow" w:hAnsi="Arial Narrow"/>
          <w:sz w:val="22"/>
          <w:szCs w:val="22"/>
        </w:rPr>
        <w:t xml:space="preserve">El encargado del tratamiento se abstendrá de realizar modificaciones técnicas en las medidas técnicas y organizativas especificadas en el </w:t>
      </w:r>
      <w:r>
        <w:rPr>
          <w:rFonts w:eastAsia="Arial Narrow" w:cs="Arial Narrow" w:ascii="Arial Narrow" w:hAnsi="Arial Narrow"/>
          <w:b/>
          <w:bCs/>
          <w:sz w:val="22"/>
          <w:szCs w:val="22"/>
        </w:rPr>
        <w:t xml:space="preserve">Apéndice I </w:t>
      </w:r>
      <w:r>
        <w:rPr>
          <w:rFonts w:eastAsia="Arial Narrow" w:cs="Arial Narrow" w:ascii="Arial Narrow" w:hAnsi="Arial Narrow"/>
          <w:sz w:val="22"/>
          <w:szCs w:val="22"/>
        </w:rPr>
        <w:t>que puedan reducir el nivel de seguridad descrito en dichas medidas sin el previo consentimiento por escrito del responsable del tratamiento.Todos los documentos, información y respuestas facilitados por el encargado del tratamiento se adjuntarán a las cláusulas tipo, de las que forman parte integrante. Serán plenamente vinculantes para el encargado del tratamiento y cualquier incumplimiento de las mismas podrá generar la responsabilidad del encargado del tratamiento de conformidad con los artículos 82 y 83 del Reglamento (UE) 2016/679.</w:t>
      </w:r>
    </w:p>
    <w:p>
      <w:pPr>
        <w:pStyle w:val="Normal1"/>
        <w:widowControl/>
        <w:numPr>
          <w:ilvl w:val="0"/>
          <w:numId w:val="15"/>
        </w:numPr>
        <w:tabs>
          <w:tab w:val="clear" w:pos="720"/>
          <w:tab w:val="left" w:pos="792" w:leader="none"/>
        </w:tabs>
        <w:spacing w:lineRule="auto" w:line="211" w:before="127"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Los TOMs del encargado del tratamiento están sujetos a mejoras técnicas y otros desarrollos. A este respecto, el encargado del tratamiento está autorizado a aplicar medidas de mejora siempre que notifique previamente al responsable del tratamiento cualquier medida que pueda repercutir en él. </w:t>
      </w:r>
    </w:p>
    <w:p>
      <w:pPr>
        <w:pStyle w:val="Normal1"/>
        <w:widowControl/>
        <w:spacing w:lineRule="auto" w:line="237" w:before="272" w:after="0"/>
        <w:ind w:hanging="0" w:left="504"/>
        <w:rPr>
          <w:rFonts w:ascii="Arial Narrow" w:hAnsi="Arial Narrow" w:eastAsia="Arial Narrow" w:cs="Arial Narrow"/>
          <w:sz w:val="22"/>
          <w:szCs w:val="22"/>
        </w:rPr>
      </w:pPr>
      <w:r>
        <mc:AlternateContent>
          <mc:Choice Requires="wps">
            <w:drawing>
              <wp:anchor behindDoc="0" distT="0" distB="0" distL="0" distR="0" simplePos="0" locked="0" layoutInCell="0" allowOverlap="1" relativeHeight="35">
                <wp:simplePos x="0" y="0"/>
                <wp:positionH relativeFrom="page">
                  <wp:posOffset>-15875</wp:posOffset>
                </wp:positionH>
                <wp:positionV relativeFrom="page">
                  <wp:posOffset>-9525</wp:posOffset>
                </wp:positionV>
                <wp:extent cx="31750" cy="31750"/>
                <wp:effectExtent l="5080" t="5080" r="5715" b="5715"/>
                <wp:wrapNone/>
                <wp:docPr id="2" name="Forma2"/>
                <a:graphic xmlns:a="http://schemas.openxmlformats.org/drawingml/2006/main">
                  <a:graphicData uri="http://schemas.microsoft.com/office/word/2010/wordprocessingShape">
                    <wps:wsp>
                      <wps:cNvSpPr/>
                      <wps:spPr>
                        <a:xfrm>
                          <a:off x="0" y="0"/>
                          <a:ext cx="31680" cy="3168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 id="shape_0" ID="Forma2" path="m0,0l-2147483648,-2147483647e" fillcolor="white" stroked="t" o:allowincell="f" style="position:absolute;margin-left:-1.25pt;margin-top:-0.75pt;width:2.45pt;height:2.45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r>
        <w:rPr>
          <w:rFonts w:eastAsia="Arial Narrow" w:cs="Arial Narrow" w:ascii="Arial Narrow" w:hAnsi="Arial Narrow"/>
          <w:sz w:val="22"/>
          <w:szCs w:val="22"/>
        </w:rPr>
        <w:t xml:space="preserve">7.5. </w:t>
      </w:r>
      <w:r>
        <w:rPr>
          <w:rFonts w:eastAsia="Arial Narrow" w:cs="Arial Narrow" w:ascii="Arial Narrow" w:hAnsi="Arial Narrow"/>
          <w:b/>
          <w:bCs/>
          <w:sz w:val="22"/>
          <w:szCs w:val="22"/>
        </w:rPr>
        <w:t>Datos sensibles</w:t>
      </w:r>
    </w:p>
    <w:p>
      <w:pPr>
        <w:pStyle w:val="Normal1"/>
        <w:widowControl/>
        <w:spacing w:lineRule="auto" w:line="213" w:before="261"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Si el tratamiento afecta a datos personales que revelen el origen étnico o racial, las opiniones políticas, las convicciones religiosas o filosóficas, o la afiliación sindical, datos genéticos o datos biométricos dirigidos a identificar de manera unívoca a una persona física, datos relativos a la salud o datos relativos a la vida sexual o la orientación sexual de una persona física, o datos relativos a condenas e infracciones penales («datos sensibles»), el encargado aplicará restricciones específicas y/o garantías adicionales.</w:t>
      </w:r>
    </w:p>
    <w:p>
      <w:pPr>
        <w:pStyle w:val="Normal1"/>
        <w:widowControl/>
        <w:spacing w:lineRule="auto" w:line="213" w:before="261"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7.6. </w:t>
      </w:r>
      <w:r>
        <w:rPr>
          <w:rFonts w:eastAsia="Arial Narrow" w:cs="Arial Narrow" w:ascii="Arial Narrow" w:hAnsi="Arial Narrow"/>
          <w:b/>
          <w:bCs/>
          <w:sz w:val="22"/>
          <w:szCs w:val="22"/>
        </w:rPr>
        <w:t>Documentación y cumplimiento</w:t>
      </w:r>
    </w:p>
    <w:p>
      <w:pPr>
        <w:pStyle w:val="Normal1"/>
        <w:widowControl/>
        <w:numPr>
          <w:ilvl w:val="0"/>
          <w:numId w:val="25"/>
        </w:numPr>
        <w:tabs>
          <w:tab w:val="clear" w:pos="720"/>
          <w:tab w:val="left" w:pos="792" w:leader="none"/>
        </w:tabs>
        <w:spacing w:lineRule="auto" w:line="228" w:before="242" w:after="0"/>
        <w:ind w:hanging="288" w:left="792"/>
        <w:rPr>
          <w:rFonts w:ascii="Arial Narrow" w:hAnsi="Arial Narrow" w:eastAsia="Arial Narrow" w:cs="Arial Narrow"/>
          <w:sz w:val="22"/>
          <w:szCs w:val="22"/>
        </w:rPr>
      </w:pPr>
      <w:r>
        <w:rPr>
          <w:rFonts w:eastAsia="Arial Narrow" w:cs="Arial Narrow" w:ascii="Arial Narrow" w:hAnsi="Arial Narrow"/>
          <w:sz w:val="22"/>
          <w:szCs w:val="22"/>
        </w:rPr>
        <w:t>Las partes deberán poder demostrar el cumplimiento de las presentes Cláusulas.</w:t>
      </w:r>
    </w:p>
    <w:p>
      <w:pPr>
        <w:pStyle w:val="Normal1"/>
        <w:widowControl/>
        <w:tabs>
          <w:tab w:val="clear" w:pos="720"/>
          <w:tab w:val="left" w:pos="835" w:leader="none"/>
        </w:tabs>
        <w:spacing w:lineRule="auto" w:line="216" w:before="259" w:after="0"/>
        <w:ind w:hanging="0" w:left="850"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resolverá con presteza y de forma adecuada las consultas del responsable relacionadas con el tratamiento con arreglo a las presentes Cláusulas. En particular, el encargado del tratamiento facilitará, a petición del responsable del tratamiento, extractos de su propio registro relativos a las actividades de tratamiento realizadas por cuenta del responsable del tratamiento, con el fin de permitirle mantener actualizado su propio registro.</w:t>
      </w:r>
    </w:p>
    <w:p>
      <w:pPr>
        <w:pStyle w:val="Normal1"/>
        <w:widowControl/>
        <w:numPr>
          <w:ilvl w:val="0"/>
          <w:numId w:val="25"/>
        </w:numPr>
        <w:tabs>
          <w:tab w:val="clear" w:pos="720"/>
          <w:tab w:val="left" w:pos="792" w:leader="none"/>
        </w:tabs>
        <w:spacing w:lineRule="auto" w:line="213" w:before="261"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pondrá a disposición del responsable toda la información necesaria para demostrar el cumplimiento de las obligaciones contempladas en las presentes Cláusulas y que deriven directamente del Reglamento (UE) 2016/679. . A instancia del responsable, el encargado permitirá y contribuirá a la realización de auditorías de las actividades de tratamiento cubiertas por las presentes Cláusulas, a intervalos razonables o si existen indicios de incumplimiento. Al decidir si se realiza un examen o una auditoría, el responsable podrá tener en cuenta las certificaciones pertinentes que obren en poder del encargado. Si la auditoría revela que las medidas de seguridad implantadas por el encargado del tratamiento y/o su subencargado no son suficientes o adecuadas, o si dichas medidas revelan la existencia de incumplimientos de los términos de las presentes cláusulas y/o de la legislación vigente en materia de protección de datos de carácter personal y/o de las prácticas habituales del sector, el encargado del tratamiento deberá, a su costa, implantar las medidas correctoras en un plazo acordado entre las Partes.</w:t>
      </w:r>
    </w:p>
    <w:p>
      <w:pPr>
        <w:pStyle w:val="Normal1"/>
        <w:widowControl/>
        <w:numPr>
          <w:ilvl w:val="0"/>
          <w:numId w:val="25"/>
        </w:numPr>
        <w:tabs>
          <w:tab w:val="clear" w:pos="720"/>
          <w:tab w:val="left" w:pos="792" w:leader="none"/>
        </w:tabs>
        <w:spacing w:lineRule="auto" w:line="216" w:before="259"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El responsable podrá optar por realizar la auditoría por sí mismo o autorizar a un auditor independiente. Las auditorías también podrán consistir en inspecciones de los locales o instalaciones físicas del encargado y, cuando proceda, realizarse con un preaviso razonable.</w:t>
      </w:r>
    </w:p>
    <w:p>
      <w:pPr>
        <w:pStyle w:val="Normal1"/>
        <w:widowControl/>
        <w:numPr>
          <w:ilvl w:val="0"/>
          <w:numId w:val="25"/>
        </w:numPr>
        <w:tabs>
          <w:tab w:val="clear" w:pos="720"/>
          <w:tab w:val="left" w:pos="792" w:leader="none"/>
        </w:tabs>
        <w:spacing w:lineRule="auto" w:line="208" w:before="264"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Las partes pondrán a disposición de las autoridades de control competentes, a instancia de estas, la información a que se refiere la presente cláusula y, en particular, los resultados de las auditorías.</w:t>
      </w:r>
    </w:p>
    <w:p>
      <w:pPr>
        <w:pStyle w:val="Normal1"/>
        <w:widowControl/>
        <w:numPr>
          <w:ilvl w:val="0"/>
          <w:numId w:val="25"/>
        </w:numPr>
        <w:spacing w:lineRule="auto" w:line="208" w:before="264"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Si el encargado del tratamiento es responsable de la recogida de datos personales por cuenta del responsable del tratamiento, éste se compromete, en el momento de la recogida de los datos personales, a facilitar a los interesados la información relativa al tratamiento o tratamientos de datos efectuados, de conformidad con la normativa aplicable en materia de protección de datos. La información facilitada a los interesados se preparará, en su caso, en consulta con el responsable del tratamiento.</w:t>
      </w:r>
    </w:p>
    <w:p>
      <w:pPr>
        <w:pStyle w:val="Normal1"/>
        <w:widowControl/>
        <w:spacing w:lineRule="auto" w:line="208" w:before="264" w:after="0"/>
        <w:ind w:firstLine="496"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7.7. </w:t>
      </w:r>
      <w:r>
        <w:rPr>
          <w:rFonts w:eastAsia="Arial Narrow" w:cs="Arial Narrow" w:ascii="Arial Narrow" w:hAnsi="Arial Narrow"/>
          <w:b/>
          <w:bCs/>
          <w:sz w:val="22"/>
          <w:szCs w:val="22"/>
        </w:rPr>
        <w:t>Recurso a subencargados</w:t>
      </w:r>
    </w:p>
    <w:p>
      <w:pPr>
        <w:pStyle w:val="Normal1"/>
        <w:widowControl/>
        <w:tabs>
          <w:tab w:val="clear" w:pos="720"/>
          <w:tab w:val="left" w:pos="792" w:leader="none"/>
        </w:tabs>
        <w:spacing w:lineRule="auto" w:line="213" w:before="258" w:after="0"/>
        <w:ind w:hanging="141" w:left="708"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a) El encargado solo podrá subcontratar a un subencargado las operaciones de tratamiento que realice por cuenta del responsable en virtud de las presentes Cláusulas con la autorización previa específica por escrito del responsable. El encargado presentará la solicitud de autorización específica conforme al modelo que se adjunta en el </w:t>
      </w:r>
      <w:r>
        <w:rPr>
          <w:rFonts w:eastAsia="Arial Narrow" w:cs="Arial Narrow" w:ascii="Arial Narrow" w:hAnsi="Arial Narrow"/>
          <w:b/>
          <w:bCs/>
          <w:sz w:val="22"/>
          <w:szCs w:val="22"/>
        </w:rPr>
        <w:t>Apéndice II,</w:t>
      </w:r>
      <w:r>
        <w:rPr>
          <w:rFonts w:eastAsia="Arial Narrow" w:cs="Arial Narrow" w:ascii="Arial Narrow" w:hAnsi="Arial Narrow"/>
          <w:sz w:val="22"/>
          <w:szCs w:val="22"/>
        </w:rPr>
        <w:t xml:space="preserve"> al menos  treinta (30) días hábiles antes de la contratación del subencargado de que se trate, junto con la información necesaria para que el responsable pueda resolver la solicitud. </w:t>
      </w:r>
    </w:p>
    <w:p>
      <w:pPr>
        <w:pStyle w:val="Normal1"/>
        <w:widowControl/>
        <w:tabs>
          <w:tab w:val="clear" w:pos="720"/>
          <w:tab w:val="left" w:pos="700" w:leader="none"/>
        </w:tabs>
        <w:spacing w:lineRule="auto" w:line="213" w:before="258" w:after="0"/>
        <w:ind w:hanging="141" w:left="708" w:right="504"/>
        <w:jc w:val="both"/>
        <w:rPr>
          <w:rFonts w:ascii="Arial Narrow" w:hAnsi="Arial Narrow" w:eastAsia="Arial Narrow" w:cs="Arial Narrow"/>
          <w:sz w:val="22"/>
          <w:szCs w:val="22"/>
        </w:rPr>
      </w:pPr>
      <w:r>
        <w:rPr>
          <w:rFonts w:eastAsia="Arial Narrow" w:cs="Arial Narrow" w:ascii="Arial Narrow" w:hAnsi="Arial Narrow"/>
          <w:sz w:val="22"/>
          <w:szCs w:val="22"/>
        </w:rPr>
        <w:t>b) Cuando el encargado contrate a un subencargado para llevar a cabo actividades de tratamiento específicas (por cuenta del responsable), lo hará por medio de un contrato que imponga al subencargado, en esencia, las mismas obligaciones en materia de protección de datos que las impuestas al encargado en virtud de las presentes Cláusulas. El encargado se asegurará de que el subencargado cumpla las obligaciones a las que esté sujeto en virtud de las presentes Cláusulas y del Reglamento (UE) 2016/679.</w:t>
      </w:r>
    </w:p>
    <w:p>
      <w:pPr>
        <w:pStyle w:val="Normal1"/>
        <w:widowControl/>
        <w:tabs>
          <w:tab w:val="clear" w:pos="720"/>
          <w:tab w:val="left" w:pos="792" w:leader="none"/>
        </w:tabs>
        <w:spacing w:lineRule="auto" w:line="213" w:before="258" w:after="0"/>
        <w:ind w:hanging="141" w:left="708" w:right="504"/>
        <w:jc w:val="both"/>
        <w:rPr>
          <w:rFonts w:ascii="Arial Narrow" w:hAnsi="Arial Narrow" w:eastAsia="Arial Narrow" w:cs="Arial Narrow"/>
          <w:sz w:val="22"/>
          <w:szCs w:val="22"/>
        </w:rPr>
      </w:pPr>
      <w:r>
        <w:rPr>
          <w:rFonts w:eastAsia="Arial Narrow" w:cs="Arial Narrow" w:ascii="Arial Narrow" w:hAnsi="Arial Narrow"/>
          <w:sz w:val="22"/>
          <w:szCs w:val="22"/>
        </w:rPr>
        <w:t>c) El responsable podrá solicitar al encargado que le muestre una evidencia de las cláusulas suscritas con el subencargado y de cualquier modificación posterior del mismo. En la medida en que sea necesario para proteger secretos comerciales u otro tipo de información confidencial, como datos personales, el encargado podrá expurgar el texto del contrato antes de mostrarlo.</w:t>
      </w:r>
    </w:p>
    <w:p>
      <w:pPr>
        <w:pStyle w:val="Normal1"/>
        <w:widowControl/>
        <w:tabs>
          <w:tab w:val="clear" w:pos="720"/>
          <w:tab w:val="left" w:pos="700" w:leader="none"/>
        </w:tabs>
        <w:spacing w:lineRule="auto" w:line="211" w:before="264" w:after="0"/>
        <w:ind w:hanging="285" w:left="850" w:right="504"/>
        <w:jc w:val="both"/>
        <w:rPr>
          <w:rFonts w:ascii="Arial Narrow" w:hAnsi="Arial Narrow" w:eastAsia="Arial Narrow" w:cs="Arial Narrow"/>
          <w:sz w:val="22"/>
          <w:szCs w:val="22"/>
        </w:rPr>
      </w:pPr>
      <w:r>
        <w:rPr>
          <w:rFonts w:eastAsia="Arial Narrow" w:cs="Arial Narrow" w:ascii="Arial Narrow" w:hAnsi="Arial Narrow"/>
          <w:sz w:val="22"/>
          <w:szCs w:val="22"/>
        </w:rPr>
        <w:t>d) El encargado seguirá siendo plenamente responsable ante el responsable, del cumplimiento de las obligaciones que imponga al subencargado en su contrato con el encargado. El encargado notificará al responsable los incumplimientos por parte del subencargado de las obligaciones que le atribuya dicho contrato.</w:t>
      </w:r>
    </w:p>
    <w:p>
      <w:pPr>
        <w:pStyle w:val="Normal1"/>
        <w:widowControl/>
        <w:tabs>
          <w:tab w:val="clear" w:pos="720"/>
          <w:tab w:val="left" w:pos="700" w:leader="none"/>
        </w:tabs>
        <w:spacing w:lineRule="auto" w:line="211" w:before="264" w:after="0"/>
        <w:ind w:hanging="285" w:left="850" w:right="504"/>
        <w:jc w:val="both"/>
        <w:rPr>
          <w:rFonts w:ascii="Arial Narrow" w:hAnsi="Arial Narrow" w:eastAsia="Arial Narrow" w:cs="Arial Narrow"/>
          <w:sz w:val="22"/>
          <w:szCs w:val="22"/>
        </w:rPr>
      </w:pPr>
      <w:r>
        <mc:AlternateContent>
          <mc:Choice Requires="wps">
            <w:drawing>
              <wp:anchor behindDoc="0" distT="0" distB="0" distL="0" distR="0" simplePos="0" locked="0" layoutInCell="0" allowOverlap="1" relativeHeight="34">
                <wp:simplePos x="0" y="0"/>
                <wp:positionH relativeFrom="page">
                  <wp:posOffset>-15875</wp:posOffset>
                </wp:positionH>
                <wp:positionV relativeFrom="page">
                  <wp:posOffset>-9525</wp:posOffset>
                </wp:positionV>
                <wp:extent cx="31750" cy="31750"/>
                <wp:effectExtent l="5080" t="5080" r="5715" b="5715"/>
                <wp:wrapNone/>
                <wp:docPr id="3" name="Forma3"/>
                <a:graphic xmlns:a="http://schemas.openxmlformats.org/drawingml/2006/main">
                  <a:graphicData uri="http://schemas.microsoft.com/office/word/2010/wordprocessingShape">
                    <wps:wsp>
                      <wps:cNvSpPr/>
                      <wps:spPr>
                        <a:xfrm>
                          <a:off x="0" y="0"/>
                          <a:ext cx="31680" cy="3168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 id="shape_0" ID="Forma3" path="m0,0l-2147483648,-2147483647e" fillcolor="white" stroked="t" o:allowincell="f" style="position:absolute;margin-left:-1.25pt;margin-top:-0.75pt;width:2.45pt;height:2.45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r>
        <w:rPr>
          <w:rFonts w:eastAsia="Arial Narrow" w:cs="Arial Narrow" w:ascii="Arial Narrow" w:hAnsi="Arial Narrow"/>
          <w:sz w:val="22"/>
          <w:szCs w:val="22"/>
        </w:rPr>
        <w:t>e) El encargado pactará con el subencargado una cláusula de tercero beneficiario en virtud de la cual, en caso de que el encargado desaparezca de facto, cese de existir jurídicamente o sea insolvente, el responsable tendrá derecho a rescindir el contrato del subencargado y ordenar a este que suprima o devuelva los datos personales.</w:t>
      </w:r>
    </w:p>
    <w:p>
      <w:pPr>
        <w:pStyle w:val="Normal1"/>
        <w:widowControl/>
        <w:spacing w:lineRule="auto" w:line="232" w:before="505" w:after="0"/>
        <w:ind w:hanging="0" w:left="504"/>
        <w:rPr>
          <w:rFonts w:ascii="Arial Narrow" w:hAnsi="Arial Narrow" w:eastAsia="Arial Narrow" w:cs="Arial Narrow"/>
          <w:sz w:val="22"/>
          <w:szCs w:val="22"/>
        </w:rPr>
      </w:pPr>
      <w:r>
        <w:rPr>
          <w:rFonts w:eastAsia="Arial Narrow" w:cs="Arial Narrow" w:ascii="Arial Narrow" w:hAnsi="Arial Narrow"/>
          <w:sz w:val="22"/>
          <w:szCs w:val="22"/>
        </w:rPr>
        <w:t xml:space="preserve">7.8. </w:t>
      </w:r>
      <w:r>
        <w:rPr>
          <w:rFonts w:eastAsia="Arial Narrow" w:cs="Arial Narrow" w:ascii="Arial Narrow" w:hAnsi="Arial Narrow"/>
          <w:b/>
          <w:bCs/>
          <w:sz w:val="22"/>
          <w:szCs w:val="22"/>
        </w:rPr>
        <w:t>Transferencias internacionales</w:t>
      </w:r>
    </w:p>
    <w:p>
      <w:pPr>
        <w:pStyle w:val="Normal1"/>
        <w:widowControl/>
        <w:numPr>
          <w:ilvl w:val="0"/>
          <w:numId w:val="13"/>
        </w:numPr>
        <w:tabs>
          <w:tab w:val="clear" w:pos="720"/>
          <w:tab w:val="left" w:pos="792" w:leader="none"/>
        </w:tabs>
        <w:spacing w:lineRule="auto" w:line="213" w:before="200"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Las transferencias de datos a un tercer país o a una organización internacional por parte del encargado solo podrán realizarse siguiendo instrucciones documentadas del responsable o en virtud de una exigencia expresa del Derecho de la Unión o del Estado miembro al que esté sujeto el encargado; se llevarán a cabo de conformidad con el capítulo V del Reglamento (UE) 2016/679.</w:t>
      </w:r>
    </w:p>
    <w:p>
      <w:pPr>
        <w:pStyle w:val="Normal1"/>
        <w:widowControl/>
        <w:numPr>
          <w:ilvl w:val="0"/>
          <w:numId w:val="13"/>
        </w:numPr>
        <w:tabs>
          <w:tab w:val="clear" w:pos="720"/>
          <w:tab w:val="left" w:pos="792" w:leader="none"/>
        </w:tabs>
        <w:spacing w:lineRule="auto" w:line="213" w:before="200"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El responsable se aviene a que, cuando el encargado recurra a un subencargado de conformidad con la cláusula 7.7 para llevar a cabo actividades de tratamiento específicas (por cuenta del responsable) y dichas actividades conlleven una transferencia de datos personales en el sentido del capítulo V del Reglamento (UE) 2016/679, el encargado y el subencargado puedan garantizar el cumplimiento del capítulo V del Reglamento (UE) 2016/679 utilizando cláusulas contractuales tipo adoptadas por la Comisión, con arreglo al artículo 46, apartado 2, del Reglamento (UE) 2016/679, siempre que se cumplan las condiciones para la utilización de dichas cláusulas contractuales tipo. </w:t>
      </w:r>
    </w:p>
    <w:p>
      <w:pPr>
        <w:pStyle w:val="Normal1"/>
        <w:widowControl/>
        <w:tabs>
          <w:tab w:val="clear" w:pos="720"/>
          <w:tab w:val="left" w:pos="792" w:leader="none"/>
        </w:tabs>
        <w:spacing w:lineRule="auto" w:line="213" w:before="200" w:after="0"/>
        <w:ind w:hanging="0" w:left="779" w:right="504"/>
        <w:jc w:val="both"/>
        <w:rPr>
          <w:rFonts w:ascii="Arial Narrow" w:hAnsi="Arial Narrow" w:eastAsia="Arial Narrow" w:cs="Arial Narrow"/>
          <w:sz w:val="22"/>
          <w:szCs w:val="22"/>
        </w:rPr>
      </w:pPr>
      <w:r>
        <w:rPr>
          <w:rFonts w:eastAsia="Arial Narrow" w:cs="Arial Narrow" w:ascii="Arial Narrow" w:hAnsi="Arial Narrow"/>
          <w:sz w:val="22"/>
          <w:szCs w:val="22"/>
        </w:rPr>
        <w:t>En este caso, el subencargado del tratamiento se compromete a este respecto a firmar sistemáticamente las cláusulas contractuales tipo facilitadas por la Comisión Europea de conformidad con el artículo 46, apartado 2, del Reglamento (UE) 2016/679 (las "Cláusulas de Transferencias") en la versión vigente más reciente (y más concretamente el módulo 3 de dichas Cláusulas de Transferencias aplicable a las transferencias de encargado a encargado del tratamiento), y a cumplir con su contenido, si el país al que se exportan los datos no está identificado por la Comisión Europea por ofrecer un nivel de protección adecuado en el sentido del artículo 45 del Reglamento (UE) 2016/679 y/o la transferencia no puede regirse por normas corporativas vinculantes según lo dispuesto en el artículo 46, apartado 2, del Reglamento (UE) 2016/679. El encargado del tratamiento se compromete a completar las Cláusulas de Transferencias si lo considera oportuno para dar cumplimiento a la cláusula 7.7.b) de las presentes Cláusulas.</w:t>
      </w:r>
    </w:p>
    <w:p>
      <w:pPr>
        <w:pStyle w:val="Normal1"/>
        <w:widowControl/>
        <w:tabs>
          <w:tab w:val="clear" w:pos="720"/>
          <w:tab w:val="left" w:pos="792" w:leader="none"/>
        </w:tabs>
        <w:spacing w:lineRule="auto" w:line="213" w:before="200" w:after="0"/>
        <w:ind w:hanging="0" w:left="779"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El encargado del tratamiento también se compromete a evaluar antes de cualquier transferencia a un país no identificado por la Comisión Europea como país que ofrece un nivel adecuado de protección que el importador de datos es capaz de (i) cumplir con las garantías implementadas para asegurar la transferencia de conformidad con el artículo 46, apartado 2, del Reglamento (UE) 2016/679 y las recomendaciones de la EDPB 01/2001 ("medidas que complementan transfer tools to secure compliance with the EU level of protection of personal data") ii) garantizar un nivel de protección de datos sustancialmente equivalente al nivel de protección garantizado en el Espacio Económico Europeo con respecto a la legislación y las prácticas de su país (en particular, las que imponen la comunicación de datos a las autoridades públicas o permiten a éstas acceder a los datos). </w:t>
      </w:r>
    </w:p>
    <w:p>
      <w:pPr>
        <w:pStyle w:val="Normal1"/>
        <w:widowControl/>
        <w:tabs>
          <w:tab w:val="clear" w:pos="720"/>
          <w:tab w:val="left" w:pos="792" w:leader="none"/>
        </w:tabs>
        <w:spacing w:lineRule="auto" w:line="213" w:before="200" w:after="0"/>
        <w:ind w:hanging="0" w:left="779"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del tratamiento se compromete a tener en cuenta, a la hora de completar dicha evaluación, las circunstancias específicas de la transferencia, las legislaciones y prácticas del país de destino y las garantías contractuales pertinentes, técnicas u organizativas, aplicadas (entendiéndose que corresponde al encargado del tratamiento aplicar o imponer a su subencargado que lleve a cabo cualquier análisis de riesgos relativo a las transferencias ulteriores de datos (en concreto, evaluaciones de los impactos de las transferencias) y, sobre esta base, aplicar o imponer al encargado del tratamiento ulterior cualquier medida adicional necesaria para garantizar a los datos transferidos un nivel de protección suficiente). El encargado del tratamiento pondrá inmediatamente a disposición del responsable del tratamiento, previa solicitud, las evaluaciones correspondientes.</w:t>
      </w:r>
    </w:p>
    <w:p>
      <w:pPr>
        <w:pStyle w:val="Normal1"/>
        <w:widowControl/>
        <w:tabs>
          <w:tab w:val="clear" w:pos="720"/>
          <w:tab w:val="left" w:pos="792" w:leader="none"/>
        </w:tabs>
        <w:spacing w:lineRule="auto" w:line="213" w:before="200" w:after="0"/>
        <w:ind w:hanging="0" w:left="779"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del tratamiento reconoce y acepta que no se producirá ninguna transferencia de datos en el sentido del capítulo V del Reglamento (UE) 2016/679 y/o que dicha transferencia se suspenderá inmediatamente si el subencargado del tratamiento no cumple o deja de cumplir las condiciones previstas en los apartados "(i)" et "(ii)" aquí arriba.</w:t>
      </w:r>
    </w:p>
    <w:p>
      <w:pPr>
        <w:pStyle w:val="Normal1"/>
        <w:widowControl/>
        <w:spacing w:lineRule="auto" w:line="216" w:before="716"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8</w:t>
      </w:r>
    </w:p>
    <w:p>
      <w:pPr>
        <w:pStyle w:val="Normal1"/>
        <w:widowControl/>
        <w:spacing w:lineRule="auto" w:line="237" w:before="355"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Ayuda al responsable del tratamiento</w:t>
      </w:r>
    </w:p>
    <w:p>
      <w:pPr>
        <w:pStyle w:val="Normal1"/>
        <w:widowControl/>
        <w:spacing w:lineRule="auto" w:line="216" w:before="193"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a) El encargado notificará con presteza al responsable las solicitudes que reciba del interesado. No responderá a dicha solicitud por sí mismo, a menos que el responsable le haya autorizado a hacerlo. El encargado del tratamiento se compromete a notificar al responsable del tratamiento en los cinco (5) días siguientes a la recepción de dichas solicitudes.</w:t>
      </w:r>
    </w:p>
    <w:p>
      <w:pPr>
        <w:pStyle w:val="Normal1"/>
        <w:widowControl/>
        <w:spacing w:lineRule="auto" w:line="211" w:before="201"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b) El encargado ayudará al responsable a cumplir sus obligaciones al responder a las solicitudes de ejercicio de derechos de los interesados teniendo en cuenta la naturaleza del tratamiento sin coste adicional. En el cumplimiento de las obligaciones que le atribuyen las letras a) y b), el encargado cumplirá las instrucciones del responsable. A este respecto, el encargado del tratamiento se compromete a: </w:t>
      </w:r>
    </w:p>
    <w:p>
      <w:pPr>
        <w:pStyle w:val="Normal1"/>
        <w:widowControl/>
        <w:numPr>
          <w:ilvl w:val="0"/>
          <w:numId w:val="24"/>
        </w:numPr>
        <w:spacing w:lineRule="auto" w:line="211" w:before="201" w:after="0"/>
        <w:ind w:hanging="212" w:left="1275"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Facilitar al responsable del tratamiento, sin dilaciones indebidas y, en la medida de lo posible, dentro de los cinco (5) días siguientes a la solicitud del responsable del tratamiento, los documentos y la información solicitados por éste en relación con el tratamiento de datos; </w:t>
      </w:r>
    </w:p>
    <w:p>
      <w:pPr>
        <w:pStyle w:val="Normal1"/>
        <w:widowControl/>
        <w:numPr>
          <w:ilvl w:val="0"/>
          <w:numId w:val="24"/>
        </w:numPr>
        <w:spacing w:lineRule="auto" w:line="211" w:before="201" w:after="0"/>
        <w:ind w:hanging="212" w:left="1275" w:right="504"/>
        <w:jc w:val="both"/>
        <w:rPr>
          <w:rFonts w:ascii="Arial Narrow" w:hAnsi="Arial Narrow" w:eastAsia="Arial Narrow" w:cs="Arial Narrow"/>
          <w:sz w:val="22"/>
          <w:szCs w:val="22"/>
        </w:rPr>
      </w:pPr>
      <w:r>
        <w:rPr>
          <w:rFonts w:eastAsia="Arial Narrow" w:cs="Arial Narrow" w:ascii="Arial Narrow" w:hAnsi="Arial Narrow"/>
          <w:sz w:val="22"/>
          <w:szCs w:val="22"/>
        </w:rPr>
        <w:t>Ejecutar, sin dilación indebida y, en la medida de lo posible en un plazo de cinco (5) días, cualquier instrucción del responsable del tratamiento relativa a la comunicación, rectificación y supresión de datos, o a la limitación o terminación del tratamiento. A petición del responsable del tratamiento, el encargado demostrará, por cualquier medio, que ha cumplido debidamente las instrucciones del responsable del tratamiento de conformidad con esta disposición.</w:t>
      </w:r>
    </w:p>
    <w:p>
      <w:pPr>
        <w:pStyle w:val="Normal1"/>
        <w:widowControl/>
        <w:spacing w:lineRule="auto" w:line="211" w:before="206"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c) Además de la obligación del encargado de ayudar al responsable en virtud de la cláusula 8, letra b), el encargado también ayudará al responsable a garantizar el cumplimiento de las obligaciones siguientes teniendo en cuenta la naturaleza del tratamiento y la información de que disponga el encargado:</w:t>
      </w:r>
    </w:p>
    <w:p>
      <w:pPr>
        <w:pStyle w:val="Normal1"/>
        <w:widowControl/>
        <w:numPr>
          <w:ilvl w:val="0"/>
          <w:numId w:val="16"/>
        </w:numPr>
        <w:tabs>
          <w:tab w:val="clear" w:pos="720"/>
          <w:tab w:val="left" w:pos="1080" w:leader="none"/>
        </w:tabs>
        <w:spacing w:lineRule="auto" w:line="216" w:before="197"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La obligación de realizar una evaluación del impacto de las operaciones de tratamiento en la protección de datos personales («evaluación de impacto») cuando sea probable que un tipo de tratamiento suponga un alto riesgo para los derechos y libertades de las personas físicas. En el contexto de cualquier evaluación de impacto relativa a la protección de datos, el encargado del tratamiento facilitará al responsable del tratamiento toda la información que obre en su poder y que sea necesaria para llevar a cabo dicha evaluación, e informará inmediatamente por escrito al responsable del tratamiento de cualquier cambio o modificación que pueda afectar al tratamiento y/o a la evaluación. El encargado del tratamiento se compromete a establecer, en el plazo fijado en consulta con el responsable del tratamiento, las medidas que puedan resultar necesarias como consecuencia de la evaluación de impacto relativa a la protección de datos, destinadas a reducir a un nivel aceptable los riesgos asociados a los datos que trata por cuenta del responsable del tratamiento;</w:t>
      </w:r>
    </w:p>
    <w:p>
      <w:pPr>
        <w:pStyle w:val="Normal1"/>
        <w:widowControl/>
        <w:numPr>
          <w:ilvl w:val="0"/>
          <w:numId w:val="16"/>
        </w:numPr>
        <w:tabs>
          <w:tab w:val="clear" w:pos="720"/>
          <w:tab w:val="left" w:pos="1080" w:leader="none"/>
        </w:tabs>
        <w:spacing w:lineRule="auto" w:line="213" w:before="198"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la obligación de consultar a las autoridades de control competentes antes de proceder al tratamiento cuando una evaluación de impacto relativa a la protección de los datos muestre que el tratamiento entrañaría un alto riesgo si el responsable no toma medidas para mitigarlo;</w:t>
      </w:r>
    </w:p>
    <w:p>
      <w:pPr>
        <w:pStyle w:val="Normal1"/>
        <w:widowControl/>
        <w:numPr>
          <w:ilvl w:val="0"/>
          <w:numId w:val="16"/>
        </w:numPr>
        <w:tabs>
          <w:tab w:val="clear" w:pos="720"/>
          <w:tab w:val="left" w:pos="1080" w:leader="none"/>
        </w:tabs>
        <w:spacing w:lineRule="auto" w:line="211" w:before="205"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la obligación de garantizar que los datos personales sean exactos y estén actualizados, informando sin demora al responsable si el encargado descubre que los datos personales que está tratando son inexactos o han quedado obsoletos;</w:t>
      </w:r>
    </w:p>
    <w:p>
      <w:pPr>
        <w:pStyle w:val="Normal1"/>
        <w:widowControl/>
        <w:numPr>
          <w:ilvl w:val="0"/>
          <w:numId w:val="16"/>
        </w:numPr>
        <w:tabs>
          <w:tab w:val="clear" w:pos="720"/>
          <w:tab w:val="left" w:pos="1080" w:leader="none"/>
        </w:tabs>
        <w:spacing w:lineRule="auto" w:line="211" w:before="205" w:after="0"/>
        <w:ind w:hanging="288" w:left="1080" w:right="504"/>
        <w:jc w:val="both"/>
        <w:rPr>
          <w:rFonts w:ascii="Times New Roman" w:hAnsi="Times New Roman" w:eastAsia="Times New Roman" w:cs="Times New Roman"/>
          <w:sz w:val="22"/>
          <w:szCs w:val="22"/>
        </w:rPr>
      </w:pPr>
      <w:r>
        <w:rPr>
          <w:rFonts w:eastAsia="Arial Narrow" w:cs="Arial Narrow" w:ascii="Arial Narrow" w:hAnsi="Arial Narrow"/>
          <w:sz w:val="22"/>
          <w:szCs w:val="22"/>
        </w:rPr>
        <w:t xml:space="preserve">las obligaciones contempladas en el artículo 32 del Reglamento (UE) 2016/679. Las partes establecerán en el </w:t>
      </w:r>
      <w:r>
        <w:rPr>
          <w:rFonts w:eastAsia="Arial Narrow" w:cs="Arial Narrow" w:ascii="Arial Narrow" w:hAnsi="Arial Narrow"/>
          <w:b/>
          <w:bCs/>
          <w:sz w:val="22"/>
          <w:szCs w:val="22"/>
        </w:rPr>
        <w:t xml:space="preserve">Apéndice I </w:t>
      </w:r>
      <w:r>
        <w:rPr>
          <w:rFonts w:eastAsia="Arial Narrow" w:cs="Arial Narrow" w:ascii="Arial Narrow" w:hAnsi="Arial Narrow"/>
          <w:sz w:val="22"/>
          <w:szCs w:val="22"/>
        </w:rPr>
        <w:t>medidas técnicas y organizativas apropiadas que obliguen al encargado a ayudar al responsable a aplicar la presente cláusula, así como el objeto y el alcance de la ayuda requerida.</w:t>
      </w:r>
    </w:p>
    <w:p>
      <w:pPr>
        <w:pStyle w:val="Normal1"/>
        <w:widowControl/>
        <w:spacing w:lineRule="auto" w:line="216" w:before="717"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9</w:t>
      </w:r>
    </w:p>
    <w:p>
      <w:pPr>
        <w:pStyle w:val="Normal1"/>
        <w:widowControl/>
        <w:spacing w:lineRule="auto" w:line="237" w:before="350"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Notificación de violaciones de la seguridad de los datos personales</w:t>
      </w:r>
    </w:p>
    <w:p>
      <w:pPr>
        <w:pStyle w:val="Normal1"/>
        <w:widowControl/>
        <w:spacing w:lineRule="auto" w:line="213" w:before="196"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En caso de violación de la seguridad de los datos personales, el encargado colaborará con el responsable y le ayudará a cumplir las obligaciones que le atribuyen los artículos 33 y 34 del Reglamento (UE) 2016/679 teniendo en cuenta la naturaleza del tratamiento y la información de que disponga el encargado.</w:t>
      </w:r>
    </w:p>
    <w:p>
      <w:pPr>
        <w:pStyle w:val="Normal1"/>
        <w:widowControl/>
        <w:spacing w:lineRule="auto" w:line="213" w:before="196"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spacing w:lineRule="auto" w:line="213" w:before="196"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9</w:t>
      </w:r>
      <w:r>
        <mc:AlternateContent>
          <mc:Choice Requires="wps">
            <w:drawing>
              <wp:anchor behindDoc="0" distT="0" distB="0" distL="0" distR="0" simplePos="0" locked="0" layoutInCell="0" allowOverlap="1" relativeHeight="33">
                <wp:simplePos x="0" y="0"/>
                <wp:positionH relativeFrom="page">
                  <wp:posOffset>-15875</wp:posOffset>
                </wp:positionH>
                <wp:positionV relativeFrom="page">
                  <wp:posOffset>-9525</wp:posOffset>
                </wp:positionV>
                <wp:extent cx="31750" cy="31750"/>
                <wp:effectExtent l="5080" t="5080" r="5715" b="5715"/>
                <wp:wrapNone/>
                <wp:docPr id="4" name="Forma4"/>
                <a:graphic xmlns:a="http://schemas.openxmlformats.org/drawingml/2006/main">
                  <a:graphicData uri="http://schemas.microsoft.com/office/word/2010/wordprocessingShape">
                    <wps:wsp>
                      <wps:cNvSpPr/>
                      <wps:spPr>
                        <a:xfrm>
                          <a:off x="0" y="0"/>
                          <a:ext cx="31680" cy="3168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 id="shape_0" ID="Forma4" path="m0,0l-2147483648,-2147483647e" fillcolor="white" stroked="t" o:allowincell="f" style="position:absolute;margin-left:-1.25pt;margin-top:-0.75pt;width:2.45pt;height:2.45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r>
        <w:rPr>
          <w:rFonts w:eastAsia="Arial Narrow" w:cs="Arial Narrow" w:ascii="Arial Narrow" w:hAnsi="Arial Narrow"/>
          <w:sz w:val="22"/>
          <w:szCs w:val="22"/>
        </w:rPr>
        <w:t xml:space="preserve">.1. </w:t>
      </w:r>
      <w:r>
        <w:rPr>
          <w:rFonts w:eastAsia="Arial Narrow" w:cs="Arial Narrow" w:ascii="Arial Narrow" w:hAnsi="Arial Narrow"/>
          <w:b/>
          <w:bCs/>
          <w:sz w:val="22"/>
          <w:szCs w:val="22"/>
        </w:rPr>
        <w:t>Violación de la seguridad de datos personales tratados por el responsable</w:t>
      </w:r>
    </w:p>
    <w:p>
      <w:pPr>
        <w:pStyle w:val="Normal1"/>
        <w:widowControl/>
        <w:spacing w:lineRule="auto" w:line="216" w:before="149"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En caso de violación de la seguridad de los datos personales en relación con los datos tratados por el responsable, el encargado ayudará al responsable en lo siguiente.</w:t>
      </w:r>
    </w:p>
    <w:p>
      <w:pPr>
        <w:pStyle w:val="Normal1"/>
        <w:widowControl/>
        <w:spacing w:lineRule="auto" w:line="211" w:before="157"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a) Notificar la violación de la seguridad de los datos personales a las autoridades de control competentees sin dilación indebida una vez tenga constancia de ella, si procede (a menos que sea improbable que dicha violación de la seguridad constituya un riesgo para los derechos y las libertades de las personas físicas).</w:t>
      </w:r>
    </w:p>
    <w:p>
      <w:pPr>
        <w:pStyle w:val="Normal1"/>
        <w:widowControl/>
        <w:spacing w:lineRule="auto" w:line="211" w:before="163"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b) Recabar la información siguiente, que, de conformidad con  el artículo 33, apartado 3, del Reglamento (UE) 2016/679, deberá figurar en la notificación del responsable, que debe incluir como mínimo:</w:t>
      </w:r>
    </w:p>
    <w:p>
      <w:pPr>
        <w:pStyle w:val="Normal1"/>
        <w:widowControl/>
        <w:numPr>
          <w:ilvl w:val="0"/>
          <w:numId w:val="20"/>
        </w:numPr>
        <w:tabs>
          <w:tab w:val="clear" w:pos="720"/>
          <w:tab w:val="left" w:pos="1080" w:leader="none"/>
        </w:tabs>
        <w:spacing w:lineRule="auto" w:line="216" w:before="154"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la naturaleza de los datos personales, inclusive, cuando sea posible, las categorías y el número aproximado de interesados afectados, y las categorías y el número aproximado de registros de datos personales afectados;</w:t>
      </w:r>
    </w:p>
    <w:p>
      <w:pPr>
        <w:pStyle w:val="Normal1"/>
        <w:widowControl/>
        <w:numPr>
          <w:ilvl w:val="0"/>
          <w:numId w:val="20"/>
        </w:numPr>
        <w:tabs>
          <w:tab w:val="clear" w:pos="720"/>
          <w:tab w:val="left" w:pos="1080" w:leader="none"/>
        </w:tabs>
        <w:spacing w:lineRule="auto" w:line="228" w:before="141" w:after="0"/>
        <w:ind w:hanging="288" w:left="1080"/>
        <w:jc w:val="both"/>
        <w:rPr>
          <w:rFonts w:ascii="Arial Narrow" w:hAnsi="Arial Narrow" w:eastAsia="Arial Narrow" w:cs="Arial Narrow"/>
          <w:sz w:val="22"/>
          <w:szCs w:val="22"/>
        </w:rPr>
      </w:pPr>
      <w:r>
        <w:rPr>
          <w:rFonts w:eastAsia="Arial Narrow" w:cs="Arial Narrow" w:ascii="Arial Narrow" w:hAnsi="Arial Narrow"/>
          <w:sz w:val="22"/>
          <w:szCs w:val="22"/>
        </w:rPr>
        <w:t>las consecuencias probables de la violación de la seguridad de los datos personales;</w:t>
      </w:r>
    </w:p>
    <w:p>
      <w:pPr>
        <w:pStyle w:val="Normal1"/>
        <w:widowControl/>
        <w:numPr>
          <w:ilvl w:val="0"/>
          <w:numId w:val="20"/>
        </w:numPr>
        <w:tabs>
          <w:tab w:val="clear" w:pos="720"/>
          <w:tab w:val="left" w:pos="1080" w:leader="none"/>
        </w:tabs>
        <w:spacing w:lineRule="auto" w:line="211" w:before="158"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las medidas adoptadas o propuestas por el responsable del tratamiento para poner remedio a la violación de la seguridad de los datos personales, incluyendo, si procede, las medidas adoptadas para mitigar los posibles efectos negativos.</w:t>
      </w:r>
    </w:p>
    <w:p>
      <w:pPr>
        <w:pStyle w:val="Normal1"/>
        <w:widowControl/>
        <w:spacing w:lineRule="auto" w:line="213" w:before="160" w:after="0"/>
        <w:ind w:hanging="0" w:left="850" w:right="504"/>
        <w:jc w:val="both"/>
        <w:rPr>
          <w:rFonts w:ascii="Arial Narrow" w:hAnsi="Arial Narrow" w:eastAsia="Arial Narrow" w:cs="Arial Narrow"/>
          <w:sz w:val="22"/>
          <w:szCs w:val="22"/>
        </w:rPr>
      </w:pPr>
      <w:r>
        <w:rPr>
          <w:rFonts w:eastAsia="Arial Narrow" w:cs="Arial Narrow" w:ascii="Arial Narrow" w:hAnsi="Arial Narrow"/>
          <w:sz w:val="22"/>
          <w:szCs w:val="22"/>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pPr>
        <w:pStyle w:val="Normal1"/>
        <w:widowControl/>
        <w:spacing w:lineRule="auto" w:line="213" w:before="156"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c) Cumplir, con arreglo al artículo 34 del Reglamento (UE) 2016/679, la obligación de comunicar sin dilación indebida al interesado la violación de la seguridad de los datos personales cuando sea probable que la violación de la seguridad entrañe un alto riesgo para los derechos y libertades de las personas físicas.</w:t>
      </w:r>
    </w:p>
    <w:p>
      <w:pPr>
        <w:pStyle w:val="Normal1"/>
        <w:widowControl/>
        <w:spacing w:lineRule="auto" w:line="237" w:before="391" w:after="0"/>
        <w:ind w:hanging="0" w:left="504"/>
        <w:rPr>
          <w:rFonts w:ascii="Arial Narrow" w:hAnsi="Arial Narrow" w:eastAsia="Arial Narrow" w:cs="Arial Narrow"/>
          <w:sz w:val="22"/>
          <w:szCs w:val="22"/>
        </w:rPr>
      </w:pPr>
      <w:r>
        <w:rPr>
          <w:rFonts w:eastAsia="Arial Narrow" w:cs="Arial Narrow" w:ascii="Arial Narrow" w:hAnsi="Arial Narrow"/>
          <w:sz w:val="22"/>
          <w:szCs w:val="22"/>
        </w:rPr>
        <w:t xml:space="preserve">9.2. </w:t>
      </w:r>
      <w:r>
        <w:rPr>
          <w:rFonts w:eastAsia="Arial Narrow" w:cs="Arial Narrow" w:ascii="Arial Narrow" w:hAnsi="Arial Narrow"/>
          <w:b/>
          <w:bCs/>
          <w:sz w:val="22"/>
          <w:szCs w:val="22"/>
        </w:rPr>
        <w:t>Violación de la seguridad de datos personales tratados por el encargado</w:t>
      </w:r>
    </w:p>
    <w:p>
      <w:pPr>
        <w:pStyle w:val="Normal1"/>
        <w:widowControl/>
        <w:spacing w:lineRule="auto" w:line="208" w:before="159"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En caso de violación de la seguridad de datos personales tratados por el encargado, este lo notificará al responsable sin dilación indebida y en todo caso en el plazo máximo de setenta y dos (72) horas una vez que el encargado tenga constancia de ella. Dicha notificación deberá incluir como mínimo:</w:t>
      </w:r>
    </w:p>
    <w:p>
      <w:pPr>
        <w:pStyle w:val="Normal1"/>
        <w:widowControl/>
        <w:numPr>
          <w:ilvl w:val="0"/>
          <w:numId w:val="22"/>
        </w:numPr>
        <w:tabs>
          <w:tab w:val="clear" w:pos="720"/>
          <w:tab w:val="left" w:pos="792" w:leader="none"/>
        </w:tabs>
        <w:spacing w:lineRule="auto" w:line="216" w:before="154"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una descripción de la naturaleza de la violación de la seguridad (inclusive, cuando sea posible, las categorías y el número aproximado de interesados y de registros de datos afectados);</w:t>
      </w:r>
    </w:p>
    <w:p>
      <w:pPr>
        <w:pStyle w:val="Normal1"/>
        <w:widowControl/>
        <w:numPr>
          <w:ilvl w:val="0"/>
          <w:numId w:val="22"/>
        </w:numPr>
        <w:tabs>
          <w:tab w:val="clear" w:pos="720"/>
          <w:tab w:val="left" w:pos="792" w:leader="none"/>
        </w:tabs>
        <w:spacing w:lineRule="auto" w:line="216" w:before="153"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los datos de un punto de contacto en el que pueda obtenerse más información sobre la violación de la seguridad de los datos personales;</w:t>
      </w:r>
    </w:p>
    <w:p>
      <w:pPr>
        <w:pStyle w:val="Normal1"/>
        <w:widowControl/>
        <w:numPr>
          <w:ilvl w:val="0"/>
          <w:numId w:val="22"/>
        </w:numPr>
        <w:tabs>
          <w:tab w:val="clear" w:pos="720"/>
          <w:tab w:val="left" w:pos="792" w:leader="none"/>
        </w:tabs>
        <w:spacing w:lineRule="auto" w:line="216" w:before="154"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sus consecuencias probables y las medidas adoptadas o propuestas para poner remedio a la violación de la seguridad, incluyendo las medidas adoptadas para mitigar los posibles efectos negativos.</w:t>
      </w:r>
    </w:p>
    <w:p>
      <w:pPr>
        <w:pStyle w:val="Normal1"/>
        <w:widowControl/>
        <w:spacing w:lineRule="auto" w:line="213" w:before="155"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pPr>
        <w:pStyle w:val="Normal1"/>
        <w:widowControl/>
        <w:spacing w:lineRule="auto" w:line="211" w:before="162"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El encargado cumplimentará la plantilla de reporte de violaciones de seguridad de los datos personales que se adjunta como </w:t>
      </w:r>
      <w:r>
        <w:rPr>
          <w:rFonts w:eastAsia="Arial Narrow" w:cs="Arial Narrow" w:ascii="Arial Narrow" w:hAnsi="Arial Narrow"/>
          <w:b/>
          <w:bCs/>
          <w:sz w:val="22"/>
          <w:szCs w:val="22"/>
        </w:rPr>
        <w:t>Apéndice III</w:t>
      </w:r>
      <w:r>
        <w:rPr>
          <w:rFonts w:eastAsia="Arial Narrow" w:cs="Arial Narrow" w:ascii="Arial Narrow" w:hAnsi="Arial Narrow"/>
          <w:sz w:val="22"/>
          <w:szCs w:val="22"/>
        </w:rPr>
        <w:t xml:space="preserve"> para ayudar al responsable a cumplir las obligaciones que le atribuyen los artículos 33 y 34 del Reglamento (UE) 2016/679.</w:t>
      </w:r>
    </w:p>
    <w:p>
      <w:pPr>
        <w:pStyle w:val="Normal1"/>
        <w:widowControl/>
        <w:spacing w:lineRule="auto" w:line="211" w:before="162"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también se compromete :</w:t>
      </w:r>
    </w:p>
    <w:p>
      <w:pPr>
        <w:pStyle w:val="Normal1"/>
        <w:widowControl/>
        <w:numPr>
          <w:ilvl w:val="0"/>
          <w:numId w:val="19"/>
        </w:numPr>
        <w:ind w:hanging="360" w:left="1440"/>
        <w:jc w:val="both"/>
        <w:rPr>
          <w:rFonts w:ascii="Arial Narrow" w:hAnsi="Arial Narrow" w:eastAsia="Arial Narrow" w:cs="Arial Narrow"/>
          <w:sz w:val="22"/>
          <w:szCs w:val="22"/>
        </w:rPr>
      </w:pPr>
      <w:r>
        <w:rPr>
          <w:rFonts w:eastAsia="Arial Narrow" w:cs="Arial Narrow" w:ascii="Arial Narrow" w:hAnsi="Arial Narrow"/>
          <w:sz w:val="22"/>
          <w:szCs w:val="22"/>
        </w:rPr>
        <w:t>participar en cualquier acción de comunicación decidida por el responsable del tratamiento;</w:t>
      </w:r>
    </w:p>
    <w:p>
      <w:pPr>
        <w:pStyle w:val="Normal1"/>
        <w:widowControl/>
        <w:numPr>
          <w:ilvl w:val="0"/>
          <w:numId w:val="19"/>
        </w:numPr>
        <w:ind w:hanging="360" w:left="1440" w:right="450"/>
        <w:jc w:val="both"/>
        <w:rPr>
          <w:rFonts w:ascii="Arial Narrow" w:hAnsi="Arial Narrow" w:eastAsia="Arial Narrow" w:cs="Arial Narrow"/>
          <w:sz w:val="22"/>
          <w:szCs w:val="22"/>
        </w:rPr>
      </w:pPr>
      <w:r>
        <w:rPr>
          <w:rFonts w:eastAsia="Arial Narrow" w:cs="Arial Narrow" w:ascii="Arial Narrow" w:hAnsi="Arial Narrow"/>
          <w:sz w:val="22"/>
          <w:szCs w:val="22"/>
        </w:rPr>
        <w:t>a colaborar con el responsable del tratamiento, sin coste adicional alguno, en la adopción de todas las medidas razonables para poner fin a esta violación de datos personales, reparar en la medida de lo posible cualquier daño imputable al mismo que esta violación de datos personales haya podido causar y evitar la repetición de un incidente similar.</w:t>
      </w:r>
    </w:p>
    <w:p>
      <w:pPr>
        <w:pStyle w:val="Normal1"/>
        <w:spacing w:lineRule="auto" w:line="228" w:before="115" w:after="0"/>
        <w:ind w:hanging="0" w:left="566" w:right="450"/>
        <w:jc w:val="both"/>
        <w:rPr>
          <w:rFonts w:ascii="Arial Narrow" w:hAnsi="Arial Narrow" w:eastAsia="Arial Narrow" w:cs="Arial Narrow"/>
          <w:sz w:val="22"/>
          <w:szCs w:val="22"/>
        </w:rPr>
      </w:pPr>
      <w:r>
        <w:rPr>
          <w:rFonts w:eastAsia="Arial Narrow" w:cs="Arial Narrow" w:ascii="Arial Narrow" w:hAnsi="Arial Narrow"/>
          <w:sz w:val="22"/>
          <w:szCs w:val="22"/>
        </w:rPr>
        <w:t>Además, el encargado del tratamiento no comunicará ni divulgará la violación de los datos personales, a menos que esté legalmente obligado a hacerlo. En cualquier caso, el encargado del tratamiento no incluirá al responsable del tratamiento en su comunicación sin el consentimiento previo por escrito de éste. El encargado del tratamiento también se compromete a adoptar las medidas adecuadas para remediar la violación, incluidas medidas para mitigar sus efectos negativos.</w:t>
      </w:r>
    </w:p>
    <w:p>
      <w:pPr>
        <w:pStyle w:val="Normal1"/>
        <w:spacing w:lineRule="auto" w:line="228" w:before="115" w:after="0"/>
        <w:ind w:hanging="0" w:left="566" w:right="450"/>
        <w:jc w:val="both"/>
        <w:rPr>
          <w:rFonts w:ascii="Arial Narrow" w:hAnsi="Arial Narrow" w:eastAsia="Arial Narrow" w:cs="Arial Narrow"/>
          <w:sz w:val="22"/>
          <w:szCs w:val="22"/>
        </w:rPr>
      </w:pPr>
      <w:r>
        <w:rPr>
          <w:rFonts w:eastAsia="Arial Narrow" w:cs="Arial Narrow" w:ascii="Arial Narrow" w:hAnsi="Arial Narrow"/>
          <w:sz w:val="22"/>
          <w:szCs w:val="22"/>
        </w:rPr>
        <w:t xml:space="preserve">El encargado del tratamiento cumplimentará, en su caso, el formulario de notificación del </w:t>
      </w:r>
      <w:r>
        <w:rPr>
          <w:rFonts w:eastAsia="Arial Narrow" w:cs="Arial Narrow" w:ascii="Arial Narrow" w:hAnsi="Arial Narrow"/>
          <w:b/>
          <w:bCs/>
          <w:sz w:val="22"/>
          <w:szCs w:val="22"/>
        </w:rPr>
        <w:t xml:space="preserve">Apéndice III </w:t>
      </w:r>
      <w:r>
        <w:rPr>
          <w:rFonts w:eastAsia="Arial Narrow" w:cs="Arial Narrow" w:ascii="Arial Narrow" w:hAnsi="Arial Narrow"/>
          <w:sz w:val="22"/>
          <w:szCs w:val="22"/>
        </w:rPr>
        <w:t xml:space="preserve">y lo enviará a la dirección de correo electrónico del responsable del contrato identificada en el Acuerdo / Contrato Principal  y de su DPO en caso de que cuente con él. Deberá adjuntarse a la notificación, en caso necesario, cualquier documentación o información que pueda ser útil para que el responsable del tratamiento notifique la violación de los datos a la autoridad de control competente y a los interesados, así como el nombre y los datos de contacto actualizados del RPD del encargado del tratamiento o de cualquier otra persona que pueda facilitar información adicional. </w:t>
      </w:r>
    </w:p>
    <w:p>
      <w:pPr>
        <w:pStyle w:val="Normal1"/>
        <w:widowControl/>
        <w:spacing w:lineRule="auto" w:line="211" w:before="162"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spacing w:lineRule="auto" w:line="194" w:before="400" w:after="0"/>
        <w:jc w:val="center"/>
        <w:rPr>
          <w:rFonts w:ascii="Arial Narrow" w:hAnsi="Arial Narrow" w:eastAsia="Arial Narrow" w:cs="Arial Narrow"/>
          <w:sz w:val="22"/>
          <w:szCs w:val="22"/>
        </w:rPr>
      </w:pPr>
      <w:r>
        <w:rPr>
          <w:rFonts w:eastAsia="Arial Narrow" w:cs="Arial Narrow" w:ascii="Arial Narrow" w:hAnsi="Arial Narrow"/>
          <w:sz w:val="22"/>
          <w:szCs w:val="22"/>
        </w:rPr>
        <w:t>SECCIÓN III</w:t>
      </w:r>
    </w:p>
    <w:p>
      <w:pPr>
        <w:pStyle w:val="Normal1"/>
        <w:widowControl/>
        <w:spacing w:lineRule="auto" w:line="196" w:before="276" w:after="0"/>
        <w:jc w:val="center"/>
        <w:rPr>
          <w:rFonts w:ascii="Arial Narrow" w:hAnsi="Arial Narrow" w:eastAsia="Arial Narrow" w:cs="Arial Narrow"/>
          <w:b/>
          <w:bCs/>
          <w:sz w:val="22"/>
          <w:szCs w:val="22"/>
        </w:rPr>
      </w:pPr>
      <w:r>
        <w:rPr>
          <w:rFonts w:eastAsia="Arial Narrow" w:cs="Arial Narrow" w:ascii="Arial Narrow" w:hAnsi="Arial Narrow"/>
          <w:b/>
          <w:bCs/>
          <w:sz w:val="22"/>
          <w:szCs w:val="22"/>
        </w:rPr>
        <w:t>DISPOSICIONES FINALES</w:t>
      </w:r>
    </w:p>
    <w:p>
      <w:pPr>
        <w:pStyle w:val="Normal1"/>
        <w:widowControl/>
        <w:spacing w:lineRule="auto" w:line="216" w:before="569"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10</w:t>
      </w:r>
    </w:p>
    <w:p>
      <w:pPr>
        <w:pStyle w:val="Normal1"/>
        <w:widowControl/>
        <w:spacing w:lineRule="auto" w:line="237" w:before="273"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Incumplimiento de las cláusulas y resolución del contrato</w:t>
      </w:r>
    </w:p>
    <w:p>
      <w:pPr>
        <w:pStyle w:val="Normal1"/>
        <w:widowControl/>
        <w:spacing w:lineRule="auto" w:line="211" w:before="154"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a) Sin perjuicio de lo dispuesto en el Reglamento (UE) 2016/679 , en caso de que el encargado del tratamiento incumpla las obligaciones que le atribuye las presentes Cláusulas, el responsable podrá ordenar al encargado que suspenda el tratamiento de datos personales hasta que este vuelva a dar cumplimiento a las presentes Cláusulas, o resolver el contrato. El encargado informará con presteza al responsable en caso de que no pueda dar cumplimiento a las presentes Cláusulas por cualquier motivo.</w:t>
      </w:r>
    </w:p>
    <w:p>
      <w:pPr>
        <w:pStyle w:val="Normal1"/>
        <w:widowControl/>
        <w:spacing w:lineRule="auto" w:line="208" w:before="278"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b) El responsable estará facultado para resolver el contrato en lo que se refiera al tratamiento de datos personales en virtud de las presentes Cláusulas cuando:</w:t>
      </w:r>
    </w:p>
    <w:p>
      <w:pPr>
        <w:pStyle w:val="Normal1"/>
        <w:widowControl/>
        <w:numPr>
          <w:ilvl w:val="0"/>
          <w:numId w:val="14"/>
        </w:numPr>
        <w:tabs>
          <w:tab w:val="clear" w:pos="720"/>
          <w:tab w:val="left" w:pos="1080" w:leader="none"/>
        </w:tabs>
        <w:spacing w:lineRule="auto" w:line="211" w:before="110"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el tratamiento de datos personales por parte del encargado haya sido suspendido por el responsable con arreglo a la letra a) y no se vuelva a dar cumplimiento a las presentes Cláusulas en un plazo razonable y, en cualquier caso, en un plazo de un mes a contar desde la suspensión;</w:t>
      </w:r>
    </w:p>
    <w:p>
      <w:pPr>
        <w:pStyle w:val="Normal1"/>
        <w:widowControl/>
        <w:numPr>
          <w:ilvl w:val="0"/>
          <w:numId w:val="14"/>
        </w:numPr>
        <w:tabs>
          <w:tab w:val="clear" w:pos="720"/>
          <w:tab w:val="left" w:pos="1080" w:leader="none"/>
        </w:tabs>
        <w:spacing w:lineRule="auto" w:line="216" w:before="101"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incumpla de manera sustancial o persistente las presentes Cláusulas o las obligaciones que le atribuye el Reglamento (UE) 2016/679;</w:t>
      </w:r>
    </w:p>
    <w:p>
      <w:pPr>
        <w:pStyle w:val="Normal1"/>
        <w:widowControl/>
        <w:numPr>
          <w:ilvl w:val="0"/>
          <w:numId w:val="14"/>
        </w:numPr>
        <w:tabs>
          <w:tab w:val="clear" w:pos="720"/>
          <w:tab w:val="left" w:pos="1080" w:leader="none"/>
        </w:tabs>
        <w:spacing w:lineRule="auto" w:line="211" w:before="105"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incumpla una resolución vinculante de un órgano jurisdiccional competente o de las autoridades de control competentes en relación con las obligaciones que les atribuye las presentes Cláusulas, el Reglamento (UE) 2016/679.</w:t>
      </w:r>
    </w:p>
    <w:p>
      <w:pPr>
        <w:pStyle w:val="Normal1"/>
        <w:widowControl/>
        <w:spacing w:lineRule="auto" w:line="208" w:before="278"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c) El encargado estará facultado para resolver el contrato en lo que se refiera al tratamiento de datos personales en virtud de las presentes Cláusulas cuando, tras haber informado al responsable de que sus instrucciones infringen los requisitos jurídicos exigidos por la cláusula 7.1, letra b), el responsable insiste en que se sigan dichas instrucciones.</w:t>
      </w:r>
    </w:p>
    <w:p>
      <w:pPr>
        <w:pStyle w:val="Normal1"/>
        <w:widowControl/>
        <w:spacing w:lineRule="auto" w:line="208" w:before="278"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d) Tras la resolución del contrato, el encargado suprimirá, a petición del responsable, todos los datos personales tratados por cuenta del responsable y acreditará al responsable que lo ha hecho, o devolverá todos los datos personales al responsable y suprimirá las copias existentes, a menos que el Derecho de la Unión o de los Estados miembros exija el almacenamiento de los datos personales. </w:t>
      </w:r>
    </w:p>
    <w:p>
      <w:pPr>
        <w:pStyle w:val="Normal1"/>
        <w:widowControl/>
        <w:spacing w:lineRule="auto" w:line="208" w:before="278" w:after="0"/>
        <w:ind w:hanging="12" w:left="792" w:right="504"/>
        <w:jc w:val="both"/>
        <w:rPr>
          <w:rFonts w:ascii="Arial Narrow" w:hAnsi="Arial Narrow" w:eastAsia="Arial Narrow" w:cs="Arial Narrow"/>
          <w:sz w:val="22"/>
          <w:szCs w:val="22"/>
        </w:rPr>
      </w:pPr>
      <w:r>
        <w:rPr>
          <w:rFonts w:eastAsia="Arial Narrow" w:cs="Arial Narrow" w:ascii="Arial Narrow" w:hAnsi="Arial Narrow"/>
          <w:sz w:val="22"/>
          <w:szCs w:val="22"/>
        </w:rPr>
        <w:t>Hasta que se destruyan o devuelvan los datos, el encargado seguirá garantizando el cumplimiento con las presentes Cláusulas.</w:t>
      </w:r>
    </w:p>
    <w:p>
      <w:pPr>
        <w:pStyle w:val="Normal1"/>
        <w:widowControl/>
        <w:spacing w:lineRule="auto" w:line="194" w:before="400" w:after="0"/>
        <w:jc w:val="center"/>
        <w:rPr>
          <w:rFonts w:ascii="Arial Narrow" w:hAnsi="Arial Narrow" w:eastAsia="Arial Narrow" w:cs="Arial Narrow"/>
          <w:sz w:val="22"/>
          <w:szCs w:val="22"/>
        </w:rPr>
      </w:pPr>
      <w:r>
        <w:rPr>
          <w:rFonts w:eastAsia="Arial Narrow" w:cs="Arial Narrow" w:ascii="Arial Narrow" w:hAnsi="Arial Narrow"/>
          <w:sz w:val="22"/>
          <w:szCs w:val="22"/>
        </w:rPr>
        <w:t>SECCIÓN IV</w:t>
      </w:r>
    </w:p>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jc w:val="center"/>
        <w:rPr>
          <w:rFonts w:ascii="Arial Narrow" w:hAnsi="Arial Narrow" w:eastAsia="Arial Narrow" w:cs="Arial Narrow"/>
          <w:b/>
          <w:bCs/>
          <w:sz w:val="22"/>
          <w:szCs w:val="22"/>
        </w:rPr>
      </w:pPr>
      <w:r>
        <w:rPr>
          <w:rFonts w:eastAsia="Arial Narrow" w:cs="Arial Narrow" w:ascii="Arial Narrow" w:hAnsi="Arial Narrow"/>
          <w:b/>
          <w:bCs/>
          <w:sz w:val="22"/>
          <w:szCs w:val="22"/>
        </w:rPr>
        <w:t>OTRAS DISPOSICIONES</w:t>
      </w:r>
    </w:p>
    <w:p>
      <w:pPr>
        <w:pStyle w:val="Normal1"/>
        <w:widowControl/>
        <w:spacing w:lineRule="auto" w:line="216" w:before="569" w:after="0"/>
        <w:jc w:val="center"/>
        <w:rPr>
          <w:rFonts w:ascii="Arial Narrow" w:hAnsi="Arial Narrow" w:eastAsia="Arial Narrow" w:cs="Arial Narrow"/>
          <w:sz w:val="22"/>
          <w:szCs w:val="22"/>
        </w:rPr>
      </w:pPr>
      <w:r>
        <w:rPr>
          <w:rFonts w:eastAsia="Arial Narrow" w:cs="Arial Narrow" w:ascii="Arial Narrow" w:hAnsi="Arial Narrow"/>
          <w:sz w:val="22"/>
          <w:szCs w:val="22"/>
        </w:rPr>
        <w:t>Cláusula 11</w:t>
      </w:r>
    </w:p>
    <w:p>
      <w:pPr>
        <w:pStyle w:val="Normal1"/>
        <w:widowControl/>
        <w:spacing w:lineRule="auto" w:line="237" w:before="273"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 xml:space="preserve">Cooperación </w:t>
      </w:r>
    </w:p>
    <w:p>
      <w:pPr>
        <w:pStyle w:val="Normal1"/>
        <w:spacing w:lineRule="auto" w:line="228"/>
        <w:ind w:hanging="0" w:left="185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ind w:hanging="0" w:left="779" w:right="450"/>
        <w:jc w:val="both"/>
        <w:rPr>
          <w:rFonts w:ascii="Arial Narrow" w:hAnsi="Arial Narrow" w:eastAsia="Arial Narrow" w:cs="Arial Narrow"/>
          <w:sz w:val="22"/>
          <w:szCs w:val="22"/>
        </w:rPr>
      </w:pPr>
      <w:r>
        <w:rPr>
          <w:rFonts w:eastAsia="Arial Narrow" w:cs="Arial Narrow" w:ascii="Arial Narrow" w:hAnsi="Arial Narrow"/>
          <w:sz w:val="22"/>
          <w:szCs w:val="22"/>
        </w:rPr>
        <w:t>El encargado del tratamiento informará lo antes posible al responsable del tratamiento de cualquier solicitud (incluida cualquier investigación o búsqueda) de una autoridad competente que haya recibido directamente y que esté relacionada con el tratamiento de datos personales aplicado en virtud de las presentes cláusulas.</w:t>
      </w:r>
    </w:p>
    <w:p>
      <w:pPr>
        <w:pStyle w:val="Normal1"/>
        <w:spacing w:lineRule="auto" w:line="228" w:before="115" w:after="0"/>
        <w:ind w:hanging="0" w:left="779" w:right="450"/>
        <w:jc w:val="both"/>
        <w:rPr>
          <w:rFonts w:ascii="Arial Narrow" w:hAnsi="Arial Narrow" w:eastAsia="Arial Narrow" w:cs="Arial Narrow"/>
          <w:sz w:val="22"/>
          <w:szCs w:val="22"/>
        </w:rPr>
      </w:pPr>
      <w:r>
        <w:rPr>
          <w:rFonts w:eastAsia="Arial Narrow" w:cs="Arial Narrow" w:ascii="Arial Narrow" w:hAnsi="Arial Narrow"/>
          <w:sz w:val="22"/>
          <w:szCs w:val="22"/>
        </w:rPr>
        <w:t>En caso de que el responsable del tratamiento sea objeto de una investigación por parte de una autoridad de protección de datos o de cualquier otra autoridad competente, de un procedimiento derivado de una infracción penal o administrativa, de una reclamación de responsabilidad por parte de un interesado o de un tercero afectado, o de cualquier otra reclamación o acción legal relacionada con el tratamiento de datos personales aplicado en virtud de las cláusulas tipo, el encargado del tratamiento se compromete a adoptar todas las medidas razonables para ayudar al responsable del tratamiento sin coste adicional.</w:t>
      </w:r>
    </w:p>
    <w:p>
      <w:pPr>
        <w:pStyle w:val="Normal1"/>
        <w:widowControl/>
        <w:spacing w:lineRule="auto" w:line="216" w:before="569"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12</w:t>
      </w:r>
    </w:p>
    <w:p>
      <w:pPr>
        <w:pStyle w:val="Normal1"/>
        <w:spacing w:lineRule="auto" w:line="240" w:before="522"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 xml:space="preserve">Tratamiento de datos de contacto de las partes. </w:t>
      </w:r>
    </w:p>
    <w:p>
      <w:pPr>
        <w:pStyle w:val="Normal1"/>
        <w:spacing w:lineRule="auto" w:line="228" w:before="115" w:after="0"/>
        <w:ind w:hanging="0" w:left="708" w:right="450"/>
        <w:jc w:val="both"/>
        <w:rPr>
          <w:rFonts w:ascii="Arial Narrow" w:hAnsi="Arial Narrow" w:eastAsia="Arial Narrow" w:cs="Arial Narrow"/>
          <w:sz w:val="22"/>
          <w:szCs w:val="22"/>
        </w:rPr>
      </w:pPr>
      <w:r>
        <w:rPr>
          <w:rFonts w:eastAsia="Arial Narrow" w:cs="Arial Narrow" w:ascii="Arial Narrow" w:hAnsi="Arial Narrow"/>
          <w:sz w:val="22"/>
          <w:szCs w:val="22"/>
        </w:rPr>
        <w:t>12.1 La persona de contacto dentro de cada parte para cualquier solicitud/pregunta/reclamación en relación con las presentes cláusulas serán las indicadas en el Apéndice I y será facilitada por el encargado del tratamiento a cualquier subencargado del tratamiento debidamente autorizado de conformidad con las cláusulas tipo.</w:t>
      </w:r>
    </w:p>
    <w:p>
      <w:pPr>
        <w:pStyle w:val="Normal1"/>
        <w:spacing w:lineRule="auto" w:line="228" w:before="115" w:after="0"/>
        <w:ind w:hanging="0" w:left="708" w:right="450"/>
        <w:jc w:val="both"/>
        <w:rPr>
          <w:rFonts w:ascii="Arial Narrow" w:hAnsi="Arial Narrow" w:eastAsia="Arial Narrow" w:cs="Arial Narrow"/>
          <w:sz w:val="22"/>
          <w:szCs w:val="22"/>
        </w:rPr>
      </w:pPr>
      <w:r>
        <w:rPr>
          <w:rFonts w:eastAsia="Arial Narrow" w:cs="Arial Narrow" w:ascii="Arial Narrow" w:hAnsi="Arial Narrow"/>
          <w:sz w:val="22"/>
          <w:szCs w:val="22"/>
        </w:rPr>
        <w:t>12.2 Cuando una de las Partes y/o sus entidades afiliadas traten los datos personales de los empleados y representantes de la otra Parte y/o entidad afiliada, incluidos sus nombres y datos de contacto comerciales (en adelante, los "Datos de Contacto"), con el fin de gestionar sus actividades comerciales (en particular, la gestión del archivo de proveedores, clientes o clientes potenciales, la gestión de contratos), esta Parte actuará en calidad de responsable del tratamiento y deberá cumplir las obligaciones que le incumben en virtud de la normativa aplicable en materia de protección de datos.</w:t>
      </w:r>
    </w:p>
    <w:p>
      <w:pPr>
        <w:pStyle w:val="Normal1"/>
        <w:spacing w:lineRule="auto" w:line="228" w:before="115" w:after="0"/>
        <w:ind w:hanging="0" w:left="708" w:right="450"/>
        <w:jc w:val="both"/>
        <w:rPr>
          <w:rFonts w:ascii="Arial Narrow" w:hAnsi="Arial Narrow" w:eastAsia="Arial Narrow" w:cs="Arial Narrow"/>
          <w:sz w:val="22"/>
          <w:szCs w:val="22"/>
        </w:rPr>
      </w:pPr>
      <w:r>
        <w:rPr>
          <w:rFonts w:eastAsia="Arial Narrow" w:cs="Arial Narrow" w:ascii="Arial Narrow" w:hAnsi="Arial Narrow"/>
          <w:sz w:val="22"/>
          <w:szCs w:val="22"/>
        </w:rPr>
        <w:t xml:space="preserve">El responsable del tratamiento conservará los Datos de Contacto del encargado del tratamiento durante el tiempo que sea necesario para cumplir los fines para los que vayan a ser utilizados, con sujeción a las disposiciones legales en materia de archivo y plazos de conservación, en su caso. Por defecto, los Datos de Contacto se conservarán durante un periodo de diez (10) años tras la finalización de la ejecución del Contrato con el fin de permitir al responsable del tratamiento demostrar el cumplimiento de sus obligaciones legales y/o contractuales, en su caso, y garantizar el seguimiento de la relación comercial con el proveedor. </w:t>
      </w:r>
    </w:p>
    <w:p>
      <w:pPr>
        <w:pStyle w:val="Normal1"/>
        <w:spacing w:lineRule="auto" w:line="228" w:before="115" w:after="0"/>
        <w:ind w:hanging="0" w:left="708" w:right="450"/>
        <w:jc w:val="both"/>
        <w:rPr>
          <w:rFonts w:ascii="Arial Narrow" w:hAnsi="Arial Narrow" w:eastAsia="Arial Narrow" w:cs="Arial Narrow"/>
          <w:sz w:val="22"/>
          <w:szCs w:val="22"/>
        </w:rPr>
      </w:pPr>
      <w:r>
        <w:rPr>
          <w:rFonts w:eastAsia="Arial Narrow" w:cs="Arial Narrow" w:ascii="Arial Narrow" w:hAnsi="Arial Narrow"/>
          <w:sz w:val="22"/>
          <w:szCs w:val="22"/>
        </w:rPr>
        <w:t xml:space="preserve">El responsable del tratamiento y/o cada entidad afiliada también pueden verse obligados a proporcionar acceso a los Datos de Contacto a sus entidades afiliadas y socios que lo necesiten en el contexto de los servicios y/o con el fin de supervisar la relación comercial. </w:t>
      </w:r>
    </w:p>
    <w:p>
      <w:pPr>
        <w:pStyle w:val="Normal1"/>
        <w:spacing w:lineRule="auto" w:line="228" w:before="115" w:after="0"/>
        <w:ind w:hanging="0" w:left="708" w:right="450"/>
        <w:jc w:val="both"/>
        <w:rPr>
          <w:rFonts w:ascii="Arial Narrow" w:hAnsi="Arial Narrow" w:eastAsia="Arial Narrow" w:cs="Arial Narrow"/>
          <w:sz w:val="22"/>
          <w:szCs w:val="22"/>
        </w:rPr>
      </w:pPr>
      <w:r>
        <w:rPr>
          <w:rFonts w:eastAsia="Arial Narrow" w:cs="Arial Narrow" w:ascii="Arial Narrow" w:hAnsi="Arial Narrow"/>
          <w:sz w:val="22"/>
          <w:szCs w:val="22"/>
        </w:rPr>
        <w:t xml:space="preserve">Dicho tratamiento se basará en el interés legítimo de las Partes y/o de la entidad afiliada. </w:t>
      </w:r>
    </w:p>
    <w:p>
      <w:pPr>
        <w:pStyle w:val="Normal1"/>
        <w:spacing w:lineRule="auto" w:line="228" w:before="115" w:after="0"/>
        <w:ind w:hanging="0" w:left="708" w:right="450"/>
        <w:jc w:val="both"/>
        <w:rPr>
          <w:rFonts w:ascii="Arial Narrow" w:hAnsi="Arial Narrow" w:eastAsia="Arial Narrow" w:cs="Arial Narrow"/>
          <w:sz w:val="22"/>
          <w:szCs w:val="22"/>
        </w:rPr>
      </w:pPr>
      <w:r>
        <w:rPr>
          <w:rFonts w:eastAsia="Arial Narrow" w:cs="Arial Narrow" w:ascii="Arial Narrow" w:hAnsi="Arial Narrow"/>
          <w:sz w:val="22"/>
          <w:szCs w:val="22"/>
        </w:rPr>
        <w:t>El proveedor informará a sus empleados y representantes, del tratamiento de sus Datos de Contacto en las condiciones descritas en la presente cláusula, incluido el modo de ejercer sus derechos ante el responsable del tratamiento. Los empleados y representantes de cada una de las Partes tienen derecho a acceder, rectificar o suprimir dichos Datos de Contacto, derecho a limitar el tratamiento de dichos Datos de Contacto, derecho a oponerse al tratamiento de dichos Datos de Contacto. Pueden hacer valer estos derechos directamente por correo electrónico al DPO del responsable del tratamiento.</w:t>
      </w:r>
    </w:p>
    <w:p>
      <w:pPr>
        <w:pStyle w:val="Normal1"/>
        <w:widowControl/>
        <w:spacing w:lineRule="auto" w:line="208" w:before="278"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mc:AlternateContent>
          <mc:Choice Requires="wps">
            <w:drawing>
              <wp:anchor behindDoc="0" distT="0" distB="0" distL="0" distR="0" simplePos="0" locked="0" layoutInCell="0" allowOverlap="1" relativeHeight="2">
                <wp:simplePos x="0" y="0"/>
                <wp:positionH relativeFrom="page">
                  <wp:posOffset>-15875</wp:posOffset>
                </wp:positionH>
                <wp:positionV relativeFrom="page">
                  <wp:posOffset>-9525</wp:posOffset>
                </wp:positionV>
                <wp:extent cx="31750" cy="31750"/>
                <wp:effectExtent l="5080" t="5080" r="5715" b="5715"/>
                <wp:wrapNone/>
                <wp:docPr id="5" name="Forma5"/>
                <a:graphic xmlns:a="http://schemas.openxmlformats.org/drawingml/2006/main">
                  <a:graphicData uri="http://schemas.microsoft.com/office/word/2010/wordprocessingShape">
                    <wps:wsp>
                      <wps:cNvSpPr/>
                      <wps:spPr>
                        <a:xfrm>
                          <a:off x="0" y="0"/>
                          <a:ext cx="31680" cy="3168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 id="shape_0" ID="Forma5" path="m0,0l-2147483648,-2147483647e" fillcolor="white" stroked="t" o:allowincell="f" style="position:absolute;margin-left:-1.25pt;margin-top:-0.75pt;width:2.45pt;height:2.45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tab/>
        <w:tab/>
        <w:t xml:space="preserve">Responsable </w:t>
        <w:tab/>
        <w:tab/>
        <w:tab/>
        <w:tab/>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tab/>
        <w:tab/>
        <w:t xml:space="preserve">Fecha y firma </w:t>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tab/>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tab/>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tab/>
        <w:tab/>
        <w:t xml:space="preserve">Encargado </w:t>
        <w:tab/>
        <w:tab/>
        <w:tab/>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tab/>
        <w:tab/>
        <w:t xml:space="preserve">Fecha y firma </w:t>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15"/>
        <w:tblW w:w="9315" w:type="dxa"/>
        <w:jc w:val="left"/>
        <w:tblInd w:w="450" w:type="dxa"/>
        <w:tblLayout w:type="fixed"/>
        <w:tblCellMar>
          <w:top w:w="100" w:type="dxa"/>
          <w:left w:w="100" w:type="dxa"/>
          <w:bottom w:w="100" w:type="dxa"/>
          <w:right w:w="100" w:type="dxa"/>
        </w:tblCellMar>
        <w:tblLook w:val="0600"/>
      </w:tblPr>
      <w:tblGrid>
        <w:gridCol w:w="9315"/>
      </w:tblGrid>
      <w:tr>
        <w:trPr/>
        <w:tc>
          <w:tcPr>
            <w:tcW w:w="9315" w:type="dxa"/>
            <w:tcBorders>
              <w:top w:val="single" w:sz="8" w:space="0" w:color="000000"/>
              <w:left w:val="single" w:sz="8" w:space="0" w:color="000000"/>
              <w:bottom w:val="single" w:sz="8" w:space="0" w:color="000000"/>
              <w:right w:val="single" w:sz="8" w:space="0" w:color="000000"/>
            </w:tcBorders>
            <w:shd w:fill="auto" w:val="clear"/>
          </w:tcPr>
          <w:p>
            <w:pPr>
              <w:pStyle w:val="Normal1"/>
              <w:keepNext w:val="true"/>
              <w:keepLines/>
              <w:widowControl/>
              <w:pBdr/>
              <w:shd w:val="clear" w:fill="auto"/>
              <w:tabs>
                <w:tab w:val="clear" w:pos="720"/>
                <w:tab w:val="left" w:pos="1080" w:leader="none"/>
              </w:tabs>
              <w:spacing w:lineRule="auto" w:line="211" w:before="111" w:after="120"/>
              <w:ind w:hanging="0" w:left="0" w:right="504"/>
              <w:jc w:val="both"/>
              <w:rPr>
                <w:rFonts w:ascii="Arial Narrow" w:hAnsi="Arial Narrow" w:eastAsia="Arial Narrow" w:cs="Arial Narrow"/>
                <w:b/>
                <w:bCs/>
                <w:i w:val="false"/>
                <w:i w:val="false"/>
                <w:iCs w:val="false"/>
                <w:caps w:val="false"/>
                <w:smallCaps w:val="false"/>
                <w:strike w:val="false"/>
                <w:dstrike w:val="false"/>
                <w:color w:val="000000"/>
                <w:position w:val="0"/>
                <w:sz w:val="48"/>
                <w:sz w:val="48"/>
                <w:szCs w:val="48"/>
                <w:u w:val="none"/>
                <w:shd w:fill="auto" w:val="clear"/>
                <w:vertAlign w:val="baseline"/>
              </w:rPr>
            </w:pPr>
            <w:bookmarkStart w:id="13" w:name="_heading=h.ypzs99li8cai"/>
            <w:bookmarkEnd w:id="13"/>
            <w:r>
              <w:rPr>
                <w:rFonts w:eastAsia="Arial Narrow" w:cs="Arial Narrow" w:ascii="Arial Narrow" w:hAnsi="Arial Narrow"/>
                <w:b/>
                <w:bCs/>
                <w:i w:val="false"/>
                <w:iCs w:val="false"/>
                <w:caps w:val="false"/>
                <w:smallCaps w:val="false"/>
                <w:strike w:val="false"/>
                <w:dstrike w:val="false"/>
                <w:color w:val="000000"/>
                <w:position w:val="0"/>
                <w:sz w:val="22"/>
                <w:sz w:val="22"/>
                <w:szCs w:val="22"/>
                <w:u w:val="none"/>
                <w:shd w:fill="auto" w:val="clear"/>
                <w:vertAlign w:val="baseline"/>
              </w:rPr>
              <w:t xml:space="preserve">        </w:t>
            </w: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none"/>
                <w:shd w:fill="auto" w:val="clear"/>
                <w:vertAlign w:val="baseline"/>
              </w:rPr>
              <w:t>Listado de apéndices a este Anexo:</w:t>
            </w:r>
            <w:r>
              <w:rPr>
                <w:rFonts w:eastAsia="Arial Narrow" w:cs="Arial Narrow" w:ascii="Arial Narrow" w:hAnsi="Arial Narrow"/>
                <w:b/>
                <w:bCs/>
                <w:i w:val="false"/>
                <w:iCs w:val="false"/>
                <w:caps w:val="false"/>
                <w:smallCaps w:val="false"/>
                <w:strike w:val="false"/>
                <w:dstrike w:val="false"/>
                <w:color w:val="000000"/>
                <w:position w:val="0"/>
                <w:sz w:val="48"/>
                <w:sz w:val="48"/>
                <w:szCs w:val="48"/>
                <w:u w:val="none"/>
                <w:shd w:fill="auto" w:val="clear"/>
                <w:vertAlign w:val="baseline"/>
              </w:rPr>
              <w:tab/>
              <w:tab/>
            </w:r>
          </w:p>
          <w:p>
            <w:pPr>
              <w:pStyle w:val="Normal1"/>
              <w:widowControl/>
              <w:tabs>
                <w:tab w:val="clear" w:pos="720"/>
                <w:tab w:val="left" w:pos="1080" w:leader="none"/>
              </w:tabs>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true"/>
              <w:keepLines/>
              <w:widowControl/>
              <w:pBdr/>
              <w:shd w:val="clear" w:fill="auto"/>
              <w:tabs>
                <w:tab w:val="clear" w:pos="720"/>
                <w:tab w:val="left" w:pos="1080" w:leader="none"/>
              </w:tabs>
              <w:spacing w:lineRule="auto" w:line="240" w:before="0" w:after="0"/>
              <w:ind w:hanging="0" w:left="1133" w:right="51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none"/>
                <w:shd w:fill="auto" w:val="clear"/>
                <w:vertAlign w:val="baseline"/>
              </w:rPr>
            </w:pPr>
            <w:bookmarkStart w:id="14" w:name="_heading=h.6302hzx8pqxd"/>
            <w:bookmarkEnd w:id="14"/>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t>Apéndice I: Información relativa al tratamiento y medidas de seguridad (TOM`´s)</w:t>
            </w:r>
          </w:p>
          <w:p>
            <w:pPr>
              <w:pStyle w:val="Normal1"/>
              <w:widowControl/>
              <w:tabs>
                <w:tab w:val="clear" w:pos="720"/>
                <w:tab w:val="left" w:pos="1080" w:leader="none"/>
              </w:tabs>
              <w:ind w:hanging="0" w:left="1133"/>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true"/>
              <w:keepLines/>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none"/>
                <w:shd w:fill="auto" w:val="clear"/>
                <w:vertAlign w:val="baseline"/>
              </w:rPr>
            </w:pPr>
            <w:bookmarkStart w:id="15" w:name="_heading=h.pm0qwinsom4f"/>
            <w:bookmarkEnd w:id="15"/>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t>Apéndice II: Modelo para la solicitud de autorización específica de subencargos</w:t>
            </w:r>
          </w:p>
          <w:p>
            <w:pPr>
              <w:pStyle w:val="Normal1"/>
              <w:widowControl/>
              <w:ind w:hanging="0" w:left="1133"/>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true"/>
              <w:keepLines/>
              <w:widowControl w:val="false"/>
              <w:pBdr/>
              <w:shd w:val="clear" w:fill="auto"/>
              <w:spacing w:lineRule="auto" w:line="240" w:before="0" w:after="0"/>
              <w:ind w:hanging="0" w:left="1133" w:right="-227"/>
              <w:jc w:val="left"/>
              <w:rPr>
                <w:rFonts w:ascii="Arial Narrow" w:hAnsi="Arial Narrow" w:eastAsia="Arial Narrow" w:cs="Arial Narrow"/>
                <w:b/>
                <w:bCs/>
                <w:i w:val="false"/>
                <w:i w:val="false"/>
                <w:iCs w:val="false"/>
                <w:caps w:val="false"/>
                <w:smallCaps w:val="false"/>
                <w:strike w:val="false"/>
                <w:dstrike w:val="false"/>
                <w:color w:val="000000"/>
                <w:position w:val="0"/>
                <w:sz w:val="36"/>
                <w:sz w:val="36"/>
                <w:szCs w:val="36"/>
                <w:u w:val="none"/>
                <w:shd w:fill="auto" w:val="clear"/>
                <w:vertAlign w:val="baseline"/>
              </w:rPr>
            </w:pPr>
            <w:bookmarkStart w:id="16" w:name="_heading=h.iiu4wnlt147u"/>
            <w:bookmarkEnd w:id="16"/>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t xml:space="preserve">Apéndice III:  Plantilla para reporte de incidentes de seguridad </w:t>
            </w:r>
          </w:p>
          <w:p>
            <w:pPr>
              <w:pStyle w:val="Normal1"/>
              <w:widowControl/>
              <w:rPr>
                <w:rFonts w:ascii="Arial Narrow" w:hAnsi="Arial Narrow" w:eastAsia="Arial Narrow" w:cs="Arial Narrow"/>
                <w:sz w:val="22"/>
                <w:szCs w:val="22"/>
              </w:rPr>
            </w:pPr>
            <w:r>
              <w:rPr>
                <w:rFonts w:eastAsia="Arial Narrow" w:cs="Arial Narrow" w:ascii="Arial Narrow" w:hAnsi="Arial Narrow"/>
                <w:sz w:val="22"/>
                <w:szCs w:val="22"/>
              </w:rPr>
            </w:r>
          </w:p>
        </w:tc>
      </w:tr>
    </w:tbl>
    <w:p>
      <w:pPr>
        <w:pStyle w:val="Normal1"/>
        <w:widowControl/>
        <w:tabs>
          <w:tab w:val="clear" w:pos="720"/>
          <w:tab w:val="left" w:pos="1080" w:leader="none"/>
        </w:tabs>
        <w:spacing w:lineRule="auto" w:line="211" w:before="111" w:after="0"/>
        <w:ind w:right="504"/>
        <w:jc w:val="both"/>
        <w:rPr>
          <w:rFonts w:ascii="Calibri" w:hAnsi="Calibri" w:eastAsia="Calibri" w:cs="Calibri"/>
          <w:sz w:val="22"/>
          <w:szCs w:val="22"/>
        </w:rPr>
      </w:pPr>
      <w:r>
        <w:rPr>
          <w:rFonts w:eastAsia="Calibri" w:cs="Calibri" w:ascii="Calibri" w:hAnsi="Calibri"/>
          <w:sz w:val="22"/>
          <w:szCs w:val="22"/>
        </w:rPr>
      </w:r>
    </w:p>
    <w:p>
      <w:pPr>
        <w:pStyle w:val="Normal1"/>
        <w:widowControl/>
        <w:tabs>
          <w:tab w:val="clear" w:pos="720"/>
          <w:tab w:val="left" w:pos="1080" w:leader="none"/>
        </w:tabs>
        <w:spacing w:lineRule="auto" w:line="211" w:before="111" w:after="0"/>
        <w:ind w:right="504"/>
        <w:jc w:val="both"/>
        <w:rPr>
          <w:rFonts w:ascii="Calibri" w:hAnsi="Calibri" w:eastAsia="Calibri" w:cs="Calibri"/>
          <w:sz w:val="22"/>
          <w:szCs w:val="22"/>
        </w:rPr>
      </w:pPr>
      <w:r>
        <w:rPr>
          <w:rFonts w:eastAsia="Calibri" w:cs="Calibri" w:ascii="Calibri" w:hAnsi="Calibri"/>
          <w:sz w:val="22"/>
          <w:szCs w:val="22"/>
        </w:rPr>
      </w:r>
    </w:p>
    <w:p>
      <w:pPr>
        <w:pStyle w:val="Normal1"/>
        <w:widowControl/>
        <w:tabs>
          <w:tab w:val="clear" w:pos="720"/>
          <w:tab w:val="left" w:pos="1080" w:leader="none"/>
        </w:tabs>
        <w:spacing w:lineRule="auto" w:line="211" w:before="111" w:after="0"/>
        <w:ind w:right="504"/>
        <w:jc w:val="both"/>
        <w:rPr>
          <w:rFonts w:ascii="Calibri" w:hAnsi="Calibri" w:eastAsia="Calibri" w:cs="Calibri"/>
          <w:sz w:val="22"/>
          <w:szCs w:val="22"/>
        </w:rPr>
      </w:pPr>
      <w:r>
        <w:rPr>
          <w:rFonts w:eastAsia="Calibri" w:cs="Calibri" w:ascii="Calibri" w:hAnsi="Calibri"/>
          <w:sz w:val="22"/>
          <w:szCs w:val="22"/>
        </w:rPr>
      </w:r>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17" w:name="_heading=h.rme6825fz67q"/>
      <w:bookmarkStart w:id="18" w:name="_heading=h.rme6825fz67q"/>
      <w:bookmarkEnd w:id="18"/>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19" w:name="_heading=h.m8txnk218diq"/>
      <w:bookmarkStart w:id="20" w:name="_heading=h.m8txnk218diq"/>
      <w:bookmarkEnd w:id="20"/>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21" w:name="_heading=h.tvz6oppk5twx"/>
      <w:bookmarkStart w:id="22" w:name="_heading=h.tvz6oppk5twx"/>
      <w:bookmarkEnd w:id="22"/>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23" w:name="_heading=h.uozm8itz1w60"/>
      <w:bookmarkStart w:id="24" w:name="_heading=h.uozm8itz1w60"/>
      <w:bookmarkEnd w:id="24"/>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25" w:name="_heading=h.grgjodlq4eyc"/>
      <w:bookmarkStart w:id="26" w:name="_heading=h.grgjodlq4eyc"/>
      <w:bookmarkEnd w:id="26"/>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27" w:name="_heading=h.1jbimnb6xvvw"/>
      <w:bookmarkStart w:id="28" w:name="_heading=h.1jbimnb6xvvw"/>
      <w:bookmarkEnd w:id="28"/>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29" w:name="_heading=h.tjdenj42whc9"/>
      <w:bookmarkStart w:id="30" w:name="_heading=h.tjdenj42whc9"/>
      <w:bookmarkEnd w:id="30"/>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31" w:name="_heading=h.sq0x8fgjejj"/>
      <w:bookmarkStart w:id="32" w:name="_heading=h.sq0x8fgjejj"/>
      <w:bookmarkEnd w:id="32"/>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33" w:name="_heading=h.ec01d9m4x40j"/>
      <w:bookmarkStart w:id="34" w:name="_heading=h.ec01d9m4x40j"/>
      <w:bookmarkEnd w:id="34"/>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35" w:name="_heading=h.ah7djnupedbd"/>
      <w:bookmarkStart w:id="36" w:name="_heading=h.ah7djnupedbd"/>
      <w:bookmarkEnd w:id="36"/>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37" w:name="_heading=h.p616f7fw6q55"/>
      <w:bookmarkStart w:id="38" w:name="_heading=h.p616f7fw6q55"/>
      <w:bookmarkEnd w:id="38"/>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39" w:name="_heading=h.ukkiyjgy1coo"/>
      <w:bookmarkStart w:id="40" w:name="_heading=h.ukkiyjgy1coo"/>
      <w:bookmarkEnd w:id="40"/>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41" w:name="_heading=h.wcbvzjx44xrx"/>
      <w:bookmarkStart w:id="42" w:name="_heading=h.wcbvzjx44xrx"/>
      <w:bookmarkEnd w:id="42"/>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43" w:name="_heading=h.ax3ctlfk1rjn"/>
      <w:bookmarkStart w:id="44" w:name="_heading=h.ax3ctlfk1rjn"/>
      <w:bookmarkEnd w:id="44"/>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45" w:name="_heading=h.96y8hekjrllc"/>
      <w:bookmarkStart w:id="46" w:name="_heading=h.96y8hekjrllc"/>
      <w:bookmarkEnd w:id="46"/>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47" w:name="_heading=h.wehlgi6n24zx"/>
      <w:bookmarkStart w:id="48" w:name="_heading=h.wehlgi6n24zx"/>
      <w:bookmarkEnd w:id="48"/>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49" w:name="_heading=h.udfdhg1qo4py"/>
      <w:bookmarkStart w:id="50" w:name="_heading=h.udfdhg1qo4py"/>
      <w:bookmarkEnd w:id="50"/>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51" w:name="_heading=h.evbo0t60t2kz"/>
      <w:bookmarkStart w:id="52" w:name="_heading=h.evbo0t60t2kz"/>
      <w:bookmarkEnd w:id="52"/>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53" w:name="_heading=h.bqnapgquae75"/>
      <w:bookmarkStart w:id="54" w:name="_heading=h.bqnapgquae75"/>
      <w:bookmarkEnd w:id="54"/>
    </w:p>
    <w:p>
      <w:pPr>
        <w:pStyle w:val="Normal1"/>
        <w:widowControl/>
        <w:tabs>
          <w:tab w:val="clear" w:pos="720"/>
          <w:tab w:val="left" w:pos="1080" w:leader="none"/>
        </w:tabs>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true"/>
        <w:keepLines/>
        <w:pageBreakBefore w:val="false"/>
        <w:widowControl/>
        <w:pBdr/>
        <w:shd w:val="clear" w:fill="auto"/>
        <w:bidi w:val="0"/>
        <w:spacing w:lineRule="auto" w:line="240" w:before="0" w:after="0"/>
        <w:ind w:hanging="0" w:left="794" w:right="51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none"/>
          <w:vertAlign w:val="baseline"/>
        </w:rPr>
      </w:pPr>
      <w:bookmarkStart w:id="55" w:name="_heading=h.xcyfg7pdklio"/>
      <w:bookmarkEnd w:id="55"/>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vertAlign w:val="baseline"/>
        </w:rPr>
        <w:t>Apéndice I: Información relativa al tratamiento y medidas de seguridad (TOM`´s)</w:t>
      </w:r>
    </w:p>
    <w:p>
      <w:pPr>
        <w:pStyle w:val="Normal1"/>
        <w:widowControl/>
        <w:tabs>
          <w:tab w:val="clear" w:pos="720"/>
          <w:tab w:val="left" w:pos="1080" w:leader="none"/>
        </w:tabs>
        <w:ind w:hanging="0" w:left="1133"/>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sz w:val="22"/>
          <w:szCs w:val="22"/>
          <w:u w:val="single"/>
        </w:rPr>
      </w:pPr>
      <w:r>
        <w:rPr>
          <w:rFonts w:eastAsia="Arial Narrow" w:cs="Arial Narrow" w:ascii="Arial Narrow" w:hAnsi="Arial Narrow"/>
          <w:b/>
          <w:bCs/>
          <w:sz w:val="22"/>
          <w:szCs w:val="22"/>
          <w:u w:val="single"/>
        </w:rPr>
      </w:r>
      <w:bookmarkStart w:id="56" w:name="_heading=h.quvldz526ekp"/>
      <w:bookmarkStart w:id="57" w:name="_heading=h.quvldz526ekp"/>
      <w:bookmarkEnd w:id="57"/>
    </w:p>
    <w:tbl>
      <w:tblPr>
        <w:tblStyle w:val="Table16"/>
        <w:tblW w:w="8503" w:type="dxa"/>
        <w:jc w:val="left"/>
        <w:tblInd w:w="0" w:type="dxa"/>
        <w:tblLayout w:type="fixed"/>
        <w:tblCellMar>
          <w:top w:w="0" w:type="dxa"/>
          <w:left w:w="40" w:type="dxa"/>
          <w:bottom w:w="0" w:type="dxa"/>
          <w:right w:w="40" w:type="dxa"/>
        </w:tblCellMar>
        <w:tblLook w:val="0600"/>
      </w:tblPr>
      <w:tblGrid>
        <w:gridCol w:w="2304"/>
        <w:gridCol w:w="3491"/>
        <w:gridCol w:w="2708"/>
      </w:tblGrid>
      <w:tr>
        <w:trPr>
          <w:trHeight w:val="540" w:hRule="atLeast"/>
        </w:trPr>
        <w:tc>
          <w:tcPr>
            <w:tcW w:w="8503" w:type="dxa"/>
            <w:gridSpan w:val="3"/>
            <w:tcBorders>
              <w:bottom w:val="single" w:sz="6" w:space="0" w:color="000000"/>
            </w:tcBorders>
            <w:shd w:fill="0B5394"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b/>
                <w:bCs/>
                <w:color w:val="FFFFFF"/>
              </w:rPr>
              <w:t>Resumen datos de cobertura contractual (incluye medidas de seguridad)</w:t>
            </w:r>
          </w:p>
        </w:tc>
      </w:tr>
      <w:tr>
        <w:trPr>
          <w:trHeight w:val="930" w:hRule="atLeast"/>
        </w:trPr>
        <w:tc>
          <w:tcPr>
            <w:tcW w:w="2304" w:type="dxa"/>
            <w:tcBorders>
              <w:left w:val="single" w:sz="6" w:space="0" w:color="000000"/>
              <w:bottom w:val="single" w:sz="6" w:space="0" w:color="000000"/>
              <w:right w:val="single" w:sz="6" w:space="0" w:color="000000"/>
            </w:tcBorders>
            <w:shd w:fill="8EAADB"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Objeto / denominación y finalidad</w:t>
            </w:r>
          </w:p>
        </w:tc>
        <w:tc>
          <w:tcPr>
            <w:tcW w:w="6199" w:type="dxa"/>
            <w:gridSpan w:val="2"/>
            <w:tcBorders>
              <w:bottom w:val="single" w:sz="6" w:space="0" w:color="000000"/>
              <w:right w:val="single" w:sz="6" w:space="0" w:color="000000"/>
            </w:tcBorders>
            <w:shd w:fill="F3F3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Lectura de contadores</w:t>
            </w:r>
          </w:p>
        </w:tc>
      </w:tr>
      <w:tr>
        <w:trPr>
          <w:trHeight w:val="420" w:hRule="atLeast"/>
        </w:trPr>
        <w:tc>
          <w:tcPr>
            <w:tcW w:w="2304" w:type="dxa"/>
            <w:tcBorders>
              <w:left w:val="single" w:sz="6" w:space="0" w:color="000000"/>
              <w:bottom w:val="single" w:sz="6" w:space="0" w:color="000000"/>
              <w:right w:val="single" w:sz="6" w:space="0" w:color="000000"/>
            </w:tcBorders>
            <w:shd w:fill="8EAADB"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Responsable</w:t>
            </w:r>
          </w:p>
        </w:tc>
        <w:tc>
          <w:tcPr>
            <w:tcW w:w="6199" w:type="dxa"/>
            <w:gridSpan w:val="2"/>
            <w:tcBorders>
              <w:bottom w:val="single" w:sz="6" w:space="0" w:color="000000"/>
              <w:right w:val="single" w:sz="6" w:space="0" w:color="000000"/>
            </w:tcBorders>
            <w:shd w:fill="F3F3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Veolia Agbar y empresas adheridas --- dpo.es@veolia.com</w:t>
            </w:r>
          </w:p>
        </w:tc>
      </w:tr>
      <w:tr>
        <w:trPr>
          <w:trHeight w:val="480" w:hRule="atLeast"/>
        </w:trPr>
        <w:tc>
          <w:tcPr>
            <w:tcW w:w="2304" w:type="dxa"/>
            <w:tcBorders>
              <w:left w:val="single" w:sz="6" w:space="0" w:color="000000"/>
              <w:bottom w:val="single" w:sz="12" w:space="0" w:color="000000"/>
              <w:right w:val="single" w:sz="6" w:space="0" w:color="000000"/>
            </w:tcBorders>
            <w:shd w:fill="8EAADB"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Encargado</w:t>
            </w:r>
          </w:p>
        </w:tc>
        <w:tc>
          <w:tcPr>
            <w:tcW w:w="6199" w:type="dxa"/>
            <w:gridSpan w:val="2"/>
            <w:tcBorders>
              <w:bottom w:val="single" w:sz="6" w:space="0" w:color="000000"/>
              <w:right w:val="single" w:sz="6" w:space="0" w:color="000000"/>
            </w:tcBorders>
            <w:shd w:fill="F3F3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Pendiente de adjudicación --- -</w:t>
            </w:r>
          </w:p>
        </w:tc>
      </w:tr>
      <w:tr>
        <w:trPr>
          <w:trHeight w:val="810" w:hRule="atLeast"/>
        </w:trPr>
        <w:tc>
          <w:tcPr>
            <w:tcW w:w="2304" w:type="dxa"/>
            <w:tcBorders>
              <w:left w:val="single" w:sz="12" w:space="0" w:color="000000"/>
              <w:bottom w:val="single" w:sz="12"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Categoría interesados</w:t>
            </w:r>
          </w:p>
        </w:tc>
        <w:tc>
          <w:tcPr>
            <w:tcW w:w="6199" w:type="dxa"/>
            <w:gridSpan w:val="2"/>
            <w:tcBorders>
              <w:bottom w:val="single" w:sz="6" w:space="0" w:color="000000"/>
              <w:right w:val="single" w:sz="6" w:space="0" w:color="000000"/>
            </w:tcBorders>
            <w:shd w:fill="F3F3F3"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0"/>
                <w:szCs w:val="20"/>
              </w:rPr>
              <w:t>Clientes</w:t>
            </w:r>
          </w:p>
        </w:tc>
      </w:tr>
      <w:tr>
        <w:trPr>
          <w:trHeight w:val="1035" w:hRule="atLeast"/>
        </w:trPr>
        <w:tc>
          <w:tcPr>
            <w:tcW w:w="2304" w:type="dxa"/>
            <w:tcBorders>
              <w:left w:val="single" w:sz="12" w:space="0" w:color="000000"/>
              <w:bottom w:val="single" w:sz="12"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Operaciones de tratamiento</w:t>
            </w:r>
          </w:p>
        </w:tc>
        <w:tc>
          <w:tcPr>
            <w:tcW w:w="6199" w:type="dxa"/>
            <w:gridSpan w:val="2"/>
            <w:tcBorders>
              <w:bottom w:val="single" w:sz="6" w:space="0" w:color="000000"/>
              <w:right w:val="single" w:sz="6" w:space="0" w:color="000000"/>
            </w:tcBorders>
            <w:shd w:fill="F3F3F3"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0"/>
                <w:szCs w:val="20"/>
              </w:rPr>
              <w:t>Recogida -Registro -Conservación/Almacenamiento -Consulta / Acceso -Comunicación por transmisión -Cotejo / Interconexión</w:t>
            </w:r>
          </w:p>
        </w:tc>
      </w:tr>
      <w:tr>
        <w:trPr>
          <w:trHeight w:val="1170" w:hRule="atLeast"/>
        </w:trPr>
        <w:tc>
          <w:tcPr>
            <w:tcW w:w="2304" w:type="dxa"/>
            <w:tcBorders>
              <w:left w:val="single" w:sz="12" w:space="0" w:color="000000"/>
              <w:bottom w:val="single" w:sz="12"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Categorías de datos</w:t>
            </w:r>
          </w:p>
        </w:tc>
        <w:tc>
          <w:tcPr>
            <w:tcW w:w="6199" w:type="dxa"/>
            <w:gridSpan w:val="2"/>
            <w:tcBorders>
              <w:bottom w:val="single" w:sz="6" w:space="0" w:color="000000"/>
              <w:right w:val="single" w:sz="6" w:space="0" w:color="000000"/>
            </w:tcBorders>
            <w:shd w:fill="F3F3F3"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0"/>
                <w:szCs w:val="20"/>
              </w:rPr>
              <w:t>Datos identificativos y/o de contacto personal necesarios para la ejecución del objeto del contrato. -Datos técnicos relacionados con el contrato de suministro de agua</w:t>
            </w:r>
          </w:p>
        </w:tc>
      </w:tr>
      <w:tr>
        <w:trPr>
          <w:trHeight w:val="855" w:hRule="atLeast"/>
        </w:trPr>
        <w:tc>
          <w:tcPr>
            <w:tcW w:w="2304" w:type="dxa"/>
            <w:tcBorders>
              <w:left w:val="single" w:sz="12" w:space="0" w:color="000000"/>
              <w:bottom w:val="single" w:sz="12"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Duración del tratamiento</w:t>
            </w:r>
          </w:p>
        </w:tc>
        <w:tc>
          <w:tcPr>
            <w:tcW w:w="6199" w:type="dxa"/>
            <w:gridSpan w:val="2"/>
            <w:tcBorders>
              <w:bottom w:val="single" w:sz="6" w:space="0" w:color="000000"/>
              <w:right w:val="single" w:sz="6" w:space="0" w:color="000000"/>
            </w:tcBorders>
            <w:shd w:fill="F3F3F3"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0"/>
                <w:szCs w:val="20"/>
              </w:rPr>
              <w:t>Durante la vigencia del Contrato o hasta su finalización en fecha anterior por cualquier causa</w:t>
            </w:r>
          </w:p>
        </w:tc>
      </w:tr>
      <w:tr>
        <w:trPr>
          <w:trHeight w:val="1050" w:hRule="atLeast"/>
        </w:trPr>
        <w:tc>
          <w:tcPr>
            <w:tcW w:w="2304" w:type="dxa"/>
            <w:tcBorders>
              <w:left w:val="single" w:sz="12" w:space="0" w:color="000000"/>
              <w:bottom w:val="single" w:sz="6" w:space="0" w:color="000000"/>
              <w:right w:val="single" w:sz="6" w:space="0" w:color="000000"/>
            </w:tcBorders>
            <w:shd w:fill="D9D2E9" w:val="clear"/>
            <w:vAlign w:val="center"/>
          </w:tcPr>
          <w:p>
            <w:pPr>
              <w:pStyle w:val="Normal1"/>
              <w:spacing w:lineRule="auto" w:line="276"/>
              <w:jc w:val="center"/>
              <w:rPr>
                <w:rFonts w:ascii="Calibri" w:hAnsi="Calibri" w:eastAsia="Calibri" w:cs="Calibri"/>
                <w:sz w:val="20"/>
                <w:szCs w:val="20"/>
              </w:rPr>
            </w:pPr>
            <w:r>
              <w:rPr>
                <w:rFonts w:eastAsia="Calibri" w:cs="Calibri" w:ascii="Calibri" w:hAnsi="Calibri"/>
                <w:sz w:val="20"/>
                <w:szCs w:val="20"/>
              </w:rPr>
              <w:t>Comentarios / Observaciones</w:t>
            </w:r>
          </w:p>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adicionales</w:t>
            </w:r>
          </w:p>
        </w:tc>
        <w:tc>
          <w:tcPr>
            <w:tcW w:w="6199" w:type="dxa"/>
            <w:gridSpan w:val="2"/>
            <w:tcBorders>
              <w:bottom w:val="single" w:sz="6" w:space="0" w:color="000000"/>
              <w:right w:val="single" w:sz="6" w:space="0" w:color="000000"/>
            </w:tcBorders>
            <w:shd w:fill="auto"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2"/>
                <w:szCs w:val="22"/>
              </w:rPr>
            </w:r>
          </w:p>
        </w:tc>
      </w:tr>
      <w:tr>
        <w:trPr>
          <w:trHeight w:val="960" w:hRule="atLeast"/>
        </w:trPr>
        <w:tc>
          <w:tcPr>
            <w:tcW w:w="2304" w:type="dxa"/>
            <w:tcBorders>
              <w:left w:val="single" w:sz="6" w:space="0" w:color="000000"/>
              <w:bottom w:val="single" w:sz="6"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Transferencias internacionales y garantías o mecanismos legales adoptados</w:t>
            </w:r>
          </w:p>
        </w:tc>
        <w:tc>
          <w:tcPr>
            <w:tcW w:w="6199" w:type="dxa"/>
            <w:gridSpan w:val="2"/>
            <w:tcBorders>
              <w:bottom w:val="single" w:sz="6" w:space="0" w:color="000000"/>
              <w:right w:val="single" w:sz="12" w:space="0" w:color="000000"/>
            </w:tcBorders>
            <w:shd w:fill="F3F3F3"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0"/>
                <w:szCs w:val="20"/>
              </w:rPr>
              <w:t>No aplica</w:t>
            </w:r>
          </w:p>
        </w:tc>
      </w:tr>
      <w:tr>
        <w:trPr>
          <w:trHeight w:val="1065" w:hRule="atLeast"/>
        </w:trPr>
        <w:tc>
          <w:tcPr>
            <w:tcW w:w="2304" w:type="dxa"/>
            <w:tcBorders>
              <w:left w:val="single" w:sz="6" w:space="0" w:color="000000"/>
              <w:bottom w:val="single" w:sz="6"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Subencargados</w:t>
            </w:r>
          </w:p>
        </w:tc>
        <w:tc>
          <w:tcPr>
            <w:tcW w:w="6199" w:type="dxa"/>
            <w:gridSpan w:val="2"/>
            <w:tcBorders>
              <w:bottom w:val="single" w:sz="6" w:space="0" w:color="000000"/>
              <w:right w:val="single" w:sz="12" w:space="0" w:color="000000"/>
            </w:tcBorders>
            <w:shd w:fill="F3F3F3"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0"/>
                <w:szCs w:val="20"/>
              </w:rPr>
              <w:t>No aplica</w:t>
            </w:r>
          </w:p>
        </w:tc>
      </w:tr>
      <w:tr>
        <w:trPr>
          <w:trHeight w:val="585" w:hRule="atLeast"/>
        </w:trPr>
        <w:tc>
          <w:tcPr>
            <w:tcW w:w="2304" w:type="dxa"/>
            <w:tcBorders>
              <w:left w:val="single" w:sz="12" w:space="0" w:color="000000"/>
              <w:bottom w:val="single" w:sz="6"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Nivel de clasificación de la información gestionada en el servicio</w:t>
            </w:r>
          </w:p>
        </w:tc>
        <w:tc>
          <w:tcPr>
            <w:tcW w:w="6199" w:type="dxa"/>
            <w:gridSpan w:val="2"/>
            <w:tcBorders>
              <w:right w:val="single" w:sz="12" w:space="0" w:color="000000"/>
            </w:tcBorders>
            <w:shd w:fill="F3F3F3"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0"/>
                <w:szCs w:val="20"/>
              </w:rPr>
              <w:t>SENSITIVE</w:t>
            </w:r>
          </w:p>
        </w:tc>
      </w:tr>
      <w:tr>
        <w:trPr>
          <w:trHeight w:val="315" w:hRule="atLeast"/>
        </w:trPr>
        <w:tc>
          <w:tcPr>
            <w:tcW w:w="2304" w:type="dxa"/>
            <w:tcBorders>
              <w:bottom w:val="single" w:sz="6" w:space="0" w:color="000000"/>
            </w:tcBorders>
            <w:shd w:fill="auto"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2"/>
                <w:szCs w:val="22"/>
              </w:rPr>
            </w:r>
          </w:p>
        </w:tc>
        <w:tc>
          <w:tcPr>
            <w:tcW w:w="3491" w:type="dxa"/>
            <w:tcBorders>
              <w:bottom w:val="single" w:sz="6" w:space="0" w:color="000000"/>
            </w:tcBorders>
            <w:shd w:fill="auto"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2"/>
                <w:szCs w:val="22"/>
              </w:rPr>
            </w:r>
          </w:p>
        </w:tc>
        <w:tc>
          <w:tcPr>
            <w:tcW w:w="2708" w:type="dxa"/>
            <w:tcBorders>
              <w:bottom w:val="single" w:sz="6" w:space="0" w:color="000000"/>
            </w:tcBorders>
            <w:shd w:fill="auto"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2"/>
                <w:szCs w:val="22"/>
              </w:rPr>
            </w:r>
          </w:p>
        </w:tc>
      </w:tr>
      <w:tr>
        <w:trPr>
          <w:trHeight w:val="315" w:hRule="atLeast"/>
        </w:trPr>
        <w:tc>
          <w:tcPr>
            <w:tcW w:w="8503" w:type="dxa"/>
            <w:gridSpan w:val="3"/>
            <w:tcBorders>
              <w:left w:val="single" w:sz="6" w:space="0" w:color="000000"/>
              <w:bottom w:val="single" w:sz="6"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Medidas de seguridad (TOM's)</w:t>
            </w:r>
          </w:p>
        </w:tc>
      </w:tr>
      <w:tr>
        <w:trPr>
          <w:trHeight w:val="10470" w:hRule="atLeast"/>
        </w:trPr>
        <w:tc>
          <w:tcPr>
            <w:tcW w:w="8503" w:type="dxa"/>
            <w:gridSpan w:val="3"/>
            <w:tcBorders>
              <w:left w:val="single" w:sz="6" w:space="0" w:color="000000"/>
              <w:bottom w:val="single" w:sz="6" w:space="0" w:color="000000"/>
              <w:right w:val="single" w:sz="6" w:space="0" w:color="000000"/>
            </w:tcBorders>
            <w:shd w:fill="F3F3F3" w:val="clear"/>
          </w:tcPr>
          <w:p>
            <w:pPr>
              <w:pStyle w:val="Normal1"/>
              <w:spacing w:lineRule="auto" w:line="276"/>
              <w:rPr>
                <w:rFonts w:ascii="Calibri" w:hAnsi="Calibri" w:eastAsia="Calibri" w:cs="Calibri"/>
                <w:sz w:val="20"/>
                <w:szCs w:val="20"/>
              </w:rPr>
            </w:pPr>
            <w:r>
              <w:rPr>
                <w:rFonts w:eastAsia="Calibri" w:cs="Calibri" w:ascii="Calibri" w:hAnsi="Calibri"/>
                <w:sz w:val="20"/>
                <w:szCs w:val="20"/>
              </w:rPr>
              <w:t>-Sistema de identificación y autentificación de usuarios (A)</w:t>
            </w:r>
          </w:p>
          <w:p>
            <w:pPr>
              <w:pStyle w:val="Normal1"/>
              <w:spacing w:lineRule="auto" w:line="276"/>
              <w:rPr>
                <w:rFonts w:ascii="Calibri" w:hAnsi="Calibri" w:eastAsia="Calibri" w:cs="Calibri"/>
                <w:sz w:val="20"/>
                <w:szCs w:val="20"/>
              </w:rPr>
            </w:pPr>
            <w:r>
              <w:rPr>
                <w:rFonts w:eastAsia="Calibri" w:cs="Calibri" w:ascii="Calibri" w:hAnsi="Calibri"/>
                <w:sz w:val="20"/>
                <w:szCs w:val="20"/>
              </w:rPr>
              <w:t>-Sistema de gestión de privilegios de acceso (A)</w:t>
            </w:r>
          </w:p>
          <w:p>
            <w:pPr>
              <w:pStyle w:val="Normal1"/>
              <w:spacing w:lineRule="auto" w:line="276"/>
              <w:rPr>
                <w:rFonts w:ascii="Calibri" w:hAnsi="Calibri" w:eastAsia="Calibri" w:cs="Calibri"/>
                <w:sz w:val="20"/>
                <w:szCs w:val="20"/>
              </w:rPr>
            </w:pPr>
            <w:r>
              <w:rPr>
                <w:rFonts w:eastAsia="Calibri" w:cs="Calibri" w:ascii="Calibri" w:hAnsi="Calibri"/>
                <w:sz w:val="20"/>
                <w:szCs w:val="20"/>
              </w:rPr>
              <w:t>-Límite de intentos reiterados de acceso no autorizado (A)</w:t>
            </w:r>
          </w:p>
          <w:p>
            <w:pPr>
              <w:pStyle w:val="Normal1"/>
              <w:spacing w:lineRule="auto" w:line="276"/>
              <w:rPr>
                <w:rFonts w:ascii="Calibri" w:hAnsi="Calibri" w:eastAsia="Calibri" w:cs="Calibri"/>
                <w:sz w:val="20"/>
                <w:szCs w:val="20"/>
              </w:rPr>
            </w:pPr>
            <w:r>
              <w:rPr>
                <w:rFonts w:eastAsia="Calibri" w:cs="Calibri" w:ascii="Calibri" w:hAnsi="Calibri"/>
                <w:sz w:val="20"/>
                <w:szCs w:val="20"/>
              </w:rPr>
              <w:t>-Sistema de control de acceso al sistema de información (A)</w:t>
            </w:r>
          </w:p>
          <w:p>
            <w:pPr>
              <w:pStyle w:val="Normal1"/>
              <w:spacing w:lineRule="auto" w:line="276"/>
              <w:rPr>
                <w:rFonts w:ascii="Calibri" w:hAnsi="Calibri" w:eastAsia="Calibri" w:cs="Calibri"/>
                <w:sz w:val="20"/>
                <w:szCs w:val="20"/>
              </w:rPr>
            </w:pPr>
            <w:r>
              <w:rPr>
                <w:rFonts w:eastAsia="Calibri" w:cs="Calibri" w:ascii="Calibri" w:hAnsi="Calibri"/>
                <w:sz w:val="20"/>
                <w:szCs w:val="20"/>
              </w:rPr>
              <w:t>-Registro de accesos al sistema de información (vgr. Log de accesos) (A)</w:t>
            </w:r>
          </w:p>
          <w:p>
            <w:pPr>
              <w:pStyle w:val="Normal1"/>
              <w:spacing w:lineRule="auto" w:line="276"/>
              <w:rPr>
                <w:rFonts w:ascii="Calibri" w:hAnsi="Calibri" w:eastAsia="Calibri" w:cs="Calibri"/>
                <w:sz w:val="20"/>
                <w:szCs w:val="20"/>
              </w:rPr>
            </w:pPr>
            <w:r>
              <w:rPr>
                <w:rFonts w:eastAsia="Calibri" w:cs="Calibri" w:ascii="Calibri" w:hAnsi="Calibri"/>
                <w:sz w:val="20"/>
                <w:szCs w:val="20"/>
              </w:rPr>
              <w:t>-Procedimiento de gestión de incidentes y emergencias (A)</w:t>
            </w:r>
          </w:p>
          <w:p>
            <w:pPr>
              <w:pStyle w:val="Normal1"/>
              <w:spacing w:lineRule="auto" w:line="276"/>
              <w:rPr>
                <w:rFonts w:ascii="Calibri" w:hAnsi="Calibri" w:eastAsia="Calibri" w:cs="Calibri"/>
                <w:sz w:val="20"/>
                <w:szCs w:val="20"/>
              </w:rPr>
            </w:pPr>
            <w:r>
              <w:rPr>
                <w:rFonts w:eastAsia="Calibri" w:cs="Calibri" w:ascii="Calibri" w:hAnsi="Calibri"/>
                <w:sz w:val="20"/>
                <w:szCs w:val="20"/>
              </w:rPr>
              <w:t>-Procedimiento de comunicación y notificación de brechas de seguridad (A)</w:t>
            </w:r>
          </w:p>
          <w:p>
            <w:pPr>
              <w:pStyle w:val="Normal1"/>
              <w:spacing w:lineRule="auto" w:line="276"/>
              <w:rPr>
                <w:rFonts w:ascii="Calibri" w:hAnsi="Calibri" w:eastAsia="Calibri" w:cs="Calibri"/>
                <w:sz w:val="20"/>
                <w:szCs w:val="20"/>
              </w:rPr>
            </w:pPr>
            <w:r>
              <w:rPr>
                <w:rFonts w:eastAsia="Calibri" w:cs="Calibri" w:ascii="Calibri" w:hAnsi="Calibri"/>
                <w:sz w:val="20"/>
                <w:szCs w:val="20"/>
              </w:rPr>
              <w:t>-Contrato de confidencialidad (con el proveedor y con todas las personas que puedan tener acceso a la información) (A)</w:t>
            </w:r>
          </w:p>
          <w:p>
            <w:pPr>
              <w:pStyle w:val="Normal1"/>
              <w:spacing w:lineRule="auto" w:line="276"/>
              <w:rPr>
                <w:rFonts w:ascii="Calibri" w:hAnsi="Calibri" w:eastAsia="Calibri" w:cs="Calibri"/>
                <w:sz w:val="20"/>
                <w:szCs w:val="20"/>
              </w:rPr>
            </w:pPr>
            <w:r>
              <w:rPr>
                <w:rFonts w:eastAsia="Calibri" w:cs="Calibri" w:ascii="Calibri" w:hAnsi="Calibri"/>
                <w:sz w:val="20"/>
                <w:szCs w:val="20"/>
              </w:rPr>
              <w:t>-Control de acceso físico a las instalaciones (A)</w:t>
            </w:r>
          </w:p>
          <w:p>
            <w:pPr>
              <w:pStyle w:val="Normal1"/>
              <w:spacing w:lineRule="auto" w:line="276"/>
              <w:rPr>
                <w:rFonts w:ascii="Calibri" w:hAnsi="Calibri" w:eastAsia="Calibri" w:cs="Calibri"/>
                <w:sz w:val="20"/>
                <w:szCs w:val="20"/>
              </w:rPr>
            </w:pPr>
            <w:r>
              <w:rPr>
                <w:rFonts w:eastAsia="Calibri" w:cs="Calibri" w:ascii="Calibri" w:hAnsi="Calibri"/>
                <w:sz w:val="20"/>
                <w:szCs w:val="20"/>
              </w:rPr>
              <w:t>-Aplicación de criterios y métodos de organización documental (clasificación y ordenación) (A)</w:t>
            </w:r>
          </w:p>
          <w:p>
            <w:pPr>
              <w:pStyle w:val="Normal1"/>
              <w:spacing w:lineRule="auto" w:line="276"/>
              <w:rPr>
                <w:rFonts w:ascii="Calibri" w:hAnsi="Calibri" w:eastAsia="Calibri" w:cs="Calibri"/>
                <w:sz w:val="20"/>
                <w:szCs w:val="20"/>
              </w:rPr>
            </w:pPr>
            <w:r>
              <w:rPr>
                <w:rFonts w:eastAsia="Calibri" w:cs="Calibri" w:ascii="Calibri" w:hAnsi="Calibri"/>
                <w:sz w:val="20"/>
                <w:szCs w:val="20"/>
              </w:rPr>
              <w:t>-Control de acceso a la documentación (vgr. Cerradura con llave, identificación biométrica, tarjeta inteligente, código personal de acceso, etc.) (A)</w:t>
            </w:r>
          </w:p>
          <w:p>
            <w:pPr>
              <w:pStyle w:val="Normal1"/>
              <w:spacing w:lineRule="auto" w:line="276"/>
              <w:rPr>
                <w:rFonts w:ascii="Calibri" w:hAnsi="Calibri" w:eastAsia="Calibri" w:cs="Calibri"/>
                <w:sz w:val="20"/>
                <w:szCs w:val="20"/>
              </w:rPr>
            </w:pPr>
            <w:r>
              <w:rPr>
                <w:rFonts w:eastAsia="Calibri" w:cs="Calibri" w:ascii="Calibri" w:hAnsi="Calibri"/>
                <w:sz w:val="20"/>
                <w:szCs w:val="20"/>
              </w:rPr>
              <w:t>-Formación del personal implicado en seguridad de la información y continuidad (incluido RGPD) (A)</w:t>
            </w:r>
          </w:p>
          <w:p>
            <w:pPr>
              <w:pStyle w:val="Normal1"/>
              <w:spacing w:lineRule="auto" w:line="276"/>
              <w:rPr>
                <w:rFonts w:ascii="Calibri" w:hAnsi="Calibri" w:eastAsia="Calibri" w:cs="Calibri"/>
                <w:sz w:val="20"/>
                <w:szCs w:val="20"/>
              </w:rPr>
            </w:pPr>
            <w:r>
              <w:rPr>
                <w:rFonts w:eastAsia="Calibri" w:cs="Calibri" w:ascii="Calibri" w:hAnsi="Calibri"/>
                <w:sz w:val="20"/>
                <w:szCs w:val="20"/>
              </w:rPr>
              <w:t>-Identificación de los riesgos y tratamiento para aquellos no tolerables (AA)</w:t>
            </w:r>
          </w:p>
          <w:p>
            <w:pPr>
              <w:pStyle w:val="Normal1"/>
              <w:spacing w:lineRule="auto" w:line="276"/>
              <w:rPr>
                <w:rFonts w:ascii="Calibri" w:hAnsi="Calibri" w:eastAsia="Calibri" w:cs="Calibri"/>
                <w:sz w:val="20"/>
                <w:szCs w:val="20"/>
              </w:rPr>
            </w:pPr>
            <w:r>
              <w:rPr>
                <w:rFonts w:eastAsia="Calibri" w:cs="Calibri" w:ascii="Calibri" w:hAnsi="Calibri"/>
                <w:sz w:val="20"/>
                <w:szCs w:val="20"/>
              </w:rPr>
              <w:t>-Establecimiento de comité de crisis (AA)</w:t>
            </w:r>
          </w:p>
          <w:p>
            <w:pPr>
              <w:pStyle w:val="Normal1"/>
              <w:spacing w:lineRule="auto" w:line="276"/>
              <w:rPr>
                <w:rFonts w:ascii="Calibri" w:hAnsi="Calibri" w:eastAsia="Calibri" w:cs="Calibri"/>
                <w:sz w:val="20"/>
                <w:szCs w:val="20"/>
              </w:rPr>
            </w:pPr>
            <w:r>
              <w:rPr>
                <w:rFonts w:eastAsia="Calibri" w:cs="Calibri" w:ascii="Calibri" w:hAnsi="Calibri"/>
                <w:sz w:val="20"/>
                <w:szCs w:val="20"/>
              </w:rPr>
              <w:t>-Sistema de análisis y gestión de vulnerabilidades técnicas (AA)</w:t>
            </w:r>
          </w:p>
          <w:p>
            <w:pPr>
              <w:pStyle w:val="Normal1"/>
              <w:spacing w:lineRule="auto" w:line="276"/>
              <w:rPr>
                <w:rFonts w:ascii="Calibri" w:hAnsi="Calibri" w:eastAsia="Calibri" w:cs="Calibri"/>
                <w:sz w:val="20"/>
                <w:szCs w:val="20"/>
              </w:rPr>
            </w:pPr>
            <w:r>
              <w:rPr>
                <w:rFonts w:eastAsia="Calibri" w:cs="Calibri" w:ascii="Calibri" w:hAnsi="Calibri"/>
                <w:sz w:val="20"/>
                <w:szCs w:val="20"/>
              </w:rPr>
              <w:t>-Sistema de protección contra código malicioso y descargable (vgr antivirus) (AA)</w:t>
            </w:r>
          </w:p>
          <w:p>
            <w:pPr>
              <w:pStyle w:val="Normal1"/>
              <w:spacing w:lineRule="auto" w:line="276"/>
              <w:rPr>
                <w:rFonts w:ascii="Calibri" w:hAnsi="Calibri" w:eastAsia="Calibri" w:cs="Calibri"/>
                <w:sz w:val="20"/>
                <w:szCs w:val="20"/>
              </w:rPr>
            </w:pPr>
            <w:r>
              <w:rPr>
                <w:rFonts w:eastAsia="Calibri" w:cs="Calibri" w:ascii="Calibri" w:hAnsi="Calibri"/>
                <w:sz w:val="20"/>
                <w:szCs w:val="20"/>
              </w:rPr>
              <w:t>-Política de gestión de activos de información (AA)</w:t>
            </w:r>
          </w:p>
          <w:p>
            <w:pPr>
              <w:pStyle w:val="Normal1"/>
              <w:spacing w:lineRule="auto" w:line="276"/>
              <w:rPr>
                <w:rFonts w:ascii="Calibri" w:hAnsi="Calibri" w:eastAsia="Calibri" w:cs="Calibri"/>
                <w:sz w:val="20"/>
                <w:szCs w:val="20"/>
              </w:rPr>
            </w:pPr>
            <w:r>
              <w:rPr>
                <w:rFonts w:eastAsia="Calibri" w:cs="Calibri" w:ascii="Calibri" w:hAnsi="Calibri"/>
                <w:sz w:val="20"/>
                <w:szCs w:val="20"/>
              </w:rPr>
              <w:t>-Inventario de activos y activos de información</w:t>
            </w:r>
          </w:p>
          <w:p>
            <w:pPr>
              <w:pStyle w:val="Normal1"/>
              <w:spacing w:lineRule="auto" w:line="276"/>
              <w:rPr>
                <w:rFonts w:ascii="Calibri" w:hAnsi="Calibri" w:eastAsia="Calibri" w:cs="Calibri"/>
                <w:sz w:val="20"/>
                <w:szCs w:val="20"/>
              </w:rPr>
            </w:pPr>
            <w:r>
              <w:rPr>
                <w:rFonts w:eastAsia="Calibri" w:cs="Calibri" w:ascii="Calibri" w:hAnsi="Calibri"/>
                <w:sz w:val="20"/>
                <w:szCs w:val="20"/>
              </w:rPr>
              <w:t>-Registro de acceso a la documentación (AA)</w:t>
            </w:r>
          </w:p>
          <w:p>
            <w:pPr>
              <w:pStyle w:val="Normal1"/>
              <w:spacing w:lineRule="auto" w:line="276"/>
              <w:rPr>
                <w:rFonts w:ascii="Calibri" w:hAnsi="Calibri" w:eastAsia="Calibri" w:cs="Calibri"/>
                <w:sz w:val="20"/>
                <w:szCs w:val="20"/>
              </w:rPr>
            </w:pPr>
            <w:r>
              <w:rPr>
                <w:rFonts w:eastAsia="Calibri" w:cs="Calibri" w:ascii="Calibri" w:hAnsi="Calibri"/>
                <w:sz w:val="20"/>
                <w:szCs w:val="20"/>
              </w:rPr>
              <w:t>-Segregación de las redes (AA)</w:t>
            </w:r>
          </w:p>
          <w:p>
            <w:pPr>
              <w:pStyle w:val="Normal1"/>
              <w:spacing w:lineRule="auto" w:line="276"/>
              <w:rPr>
                <w:rFonts w:ascii="Calibri" w:hAnsi="Calibri" w:eastAsia="Calibri" w:cs="Calibri"/>
                <w:sz w:val="20"/>
                <w:szCs w:val="20"/>
              </w:rPr>
            </w:pPr>
            <w:r>
              <w:rPr>
                <w:rFonts w:eastAsia="Calibri" w:cs="Calibri" w:ascii="Calibri" w:hAnsi="Calibri"/>
                <w:sz w:val="20"/>
                <w:szCs w:val="20"/>
              </w:rPr>
              <w:t>-Política de mesas limpias (AA)</w:t>
            </w:r>
          </w:p>
          <w:p>
            <w:pPr>
              <w:pStyle w:val="Normal1"/>
              <w:spacing w:lineRule="auto" w:line="276"/>
              <w:rPr>
                <w:rFonts w:ascii="Calibri" w:hAnsi="Calibri" w:eastAsia="Calibri" w:cs="Calibri"/>
                <w:sz w:val="20"/>
                <w:szCs w:val="20"/>
              </w:rPr>
            </w:pPr>
            <w:r>
              <w:rPr>
                <w:rFonts w:eastAsia="Calibri" w:cs="Calibri" w:ascii="Calibri" w:hAnsi="Calibri"/>
                <w:sz w:val="20"/>
                <w:szCs w:val="20"/>
              </w:rPr>
              <w:t>-Normas de uso de las impresoras de documentación (AA)</w:t>
            </w:r>
          </w:p>
          <w:p>
            <w:pPr>
              <w:pStyle w:val="Normal1"/>
              <w:spacing w:lineRule="auto" w:line="276"/>
              <w:rPr>
                <w:rFonts w:ascii="Calibri" w:hAnsi="Calibri" w:eastAsia="Calibri" w:cs="Calibri"/>
                <w:sz w:val="20"/>
                <w:szCs w:val="20"/>
              </w:rPr>
            </w:pPr>
            <w:r>
              <w:rPr>
                <w:rFonts w:eastAsia="Calibri" w:cs="Calibri" w:ascii="Calibri" w:hAnsi="Calibri"/>
                <w:sz w:val="20"/>
                <w:szCs w:val="20"/>
              </w:rPr>
              <w:t>-Destrucción segura y confidencial de documentación (AA)</w:t>
            </w:r>
          </w:p>
          <w:p>
            <w:pPr>
              <w:pStyle w:val="Normal1"/>
              <w:spacing w:lineRule="auto" w:line="276"/>
              <w:rPr>
                <w:rFonts w:ascii="Calibri" w:hAnsi="Calibri" w:eastAsia="Calibri" w:cs="Calibri"/>
                <w:sz w:val="20"/>
                <w:szCs w:val="20"/>
              </w:rPr>
            </w:pPr>
            <w:r>
              <w:rPr>
                <w:rFonts w:eastAsia="Calibri" w:cs="Calibri" w:ascii="Calibri" w:hAnsi="Calibri"/>
                <w:sz w:val="20"/>
                <w:szCs w:val="20"/>
              </w:rPr>
              <w:t>-Documento de política de protección de datos de carácter personal (RGPD) (AAA1)</w:t>
            </w:r>
          </w:p>
          <w:p>
            <w:pPr>
              <w:pStyle w:val="Normal1"/>
              <w:spacing w:lineRule="auto" w:line="276"/>
              <w:rPr>
                <w:rFonts w:ascii="Calibri" w:hAnsi="Calibri" w:eastAsia="Calibri" w:cs="Calibri"/>
                <w:sz w:val="20"/>
                <w:szCs w:val="20"/>
              </w:rPr>
            </w:pPr>
            <w:r>
              <w:rPr>
                <w:rFonts w:eastAsia="Calibri" w:cs="Calibri" w:ascii="Calibri" w:hAnsi="Calibri"/>
                <w:sz w:val="20"/>
                <w:szCs w:val="20"/>
              </w:rPr>
              <w:t>-Funciones y obligaciones de los usuarios y normas de uso de los recursos TIC (AAA1)</w:t>
            </w:r>
          </w:p>
          <w:p>
            <w:pPr>
              <w:pStyle w:val="Normal1"/>
              <w:spacing w:lineRule="auto" w:line="276"/>
              <w:rPr>
                <w:rFonts w:ascii="Calibri" w:hAnsi="Calibri" w:eastAsia="Calibri" w:cs="Calibri"/>
                <w:sz w:val="20"/>
                <w:szCs w:val="20"/>
              </w:rPr>
            </w:pPr>
            <w:r>
              <w:rPr>
                <w:rFonts w:eastAsia="Calibri" w:cs="Calibri" w:ascii="Calibri" w:hAnsi="Calibri"/>
                <w:sz w:val="20"/>
                <w:szCs w:val="20"/>
              </w:rPr>
              <w:t>-Medidas técnicas y organizativas de pseudonimización (AAA1)</w:t>
            </w:r>
          </w:p>
          <w:p>
            <w:pPr>
              <w:pStyle w:val="Normal1"/>
              <w:spacing w:lineRule="auto" w:line="276"/>
              <w:rPr>
                <w:rFonts w:ascii="Calibri" w:hAnsi="Calibri" w:eastAsia="Calibri" w:cs="Calibri"/>
                <w:sz w:val="20"/>
                <w:szCs w:val="20"/>
              </w:rPr>
            </w:pPr>
            <w:r>
              <w:rPr>
                <w:rFonts w:eastAsia="Calibri" w:cs="Calibri" w:ascii="Calibri" w:hAnsi="Calibri"/>
                <w:sz w:val="20"/>
                <w:szCs w:val="20"/>
              </w:rPr>
              <w:t>-Software de cifrado de archivos y base de datos (AAA2)</w:t>
            </w:r>
          </w:p>
          <w:p>
            <w:pPr>
              <w:pStyle w:val="Normal1"/>
              <w:spacing w:lineRule="auto" w:line="276"/>
              <w:rPr>
                <w:rFonts w:ascii="Calibri" w:hAnsi="Calibri" w:eastAsia="Calibri" w:cs="Calibri"/>
                <w:sz w:val="20"/>
                <w:szCs w:val="20"/>
              </w:rPr>
            </w:pPr>
            <w:r>
              <w:rPr>
                <w:rFonts w:eastAsia="Calibri" w:cs="Calibri" w:ascii="Calibri" w:hAnsi="Calibri"/>
                <w:sz w:val="20"/>
                <w:szCs w:val="20"/>
              </w:rPr>
              <w:t>-Software de cifrado de correo electrónico (AAA2)</w:t>
            </w:r>
          </w:p>
          <w:p>
            <w:pPr>
              <w:pStyle w:val="Normal1"/>
              <w:spacing w:lineRule="auto" w:line="276"/>
              <w:rPr>
                <w:rFonts w:ascii="Calibri" w:hAnsi="Calibri" w:eastAsia="Calibri" w:cs="Calibri"/>
                <w:sz w:val="20"/>
                <w:szCs w:val="20"/>
              </w:rPr>
            </w:pPr>
            <w:r>
              <w:rPr>
                <w:rFonts w:eastAsia="Calibri" w:cs="Calibri" w:ascii="Calibri" w:hAnsi="Calibri"/>
                <w:sz w:val="20"/>
                <w:szCs w:val="20"/>
              </w:rPr>
              <w:t>-Cortafuego (firewall) (AAA1)</w:t>
            </w:r>
          </w:p>
          <w:p>
            <w:pPr>
              <w:pStyle w:val="Normal1"/>
              <w:spacing w:lineRule="auto" w:line="276"/>
              <w:rPr>
                <w:rFonts w:ascii="Calibri" w:hAnsi="Calibri" w:eastAsia="Calibri" w:cs="Calibri"/>
                <w:sz w:val="20"/>
                <w:szCs w:val="20"/>
              </w:rPr>
            </w:pPr>
            <w:r>
              <w:rPr>
                <w:rFonts w:eastAsia="Calibri" w:cs="Calibri" w:ascii="Calibri" w:hAnsi="Calibri"/>
                <w:sz w:val="20"/>
                <w:szCs w:val="20"/>
              </w:rPr>
              <w:t>-Sistema de detección de intrusiones (IDS) (AAA2)</w:t>
            </w:r>
          </w:p>
          <w:p>
            <w:pPr>
              <w:pStyle w:val="Normal1"/>
              <w:spacing w:lineRule="auto" w:line="276"/>
              <w:rPr>
                <w:rFonts w:ascii="Calibri" w:hAnsi="Calibri" w:eastAsia="Calibri" w:cs="Calibri"/>
                <w:sz w:val="20"/>
                <w:szCs w:val="20"/>
              </w:rPr>
            </w:pPr>
            <w:r>
              <w:rPr>
                <w:rFonts w:eastAsia="Calibri" w:cs="Calibri" w:ascii="Calibri" w:hAnsi="Calibri"/>
                <w:sz w:val="20"/>
                <w:szCs w:val="20"/>
              </w:rPr>
              <w:t>-Servidor dedicado / BBDD dedicada (VPS, Cloud…) (AAA1)</w:t>
            </w:r>
          </w:p>
          <w:p>
            <w:pPr>
              <w:pStyle w:val="Normal1"/>
              <w:spacing w:lineRule="auto" w:line="276"/>
              <w:rPr>
                <w:rFonts w:ascii="Calibri" w:hAnsi="Calibri" w:eastAsia="Calibri" w:cs="Calibri"/>
                <w:sz w:val="20"/>
                <w:szCs w:val="20"/>
              </w:rPr>
            </w:pPr>
            <w:r>
              <w:rPr>
                <w:rFonts w:eastAsia="Calibri" w:cs="Calibri" w:ascii="Calibri" w:hAnsi="Calibri"/>
                <w:sz w:val="20"/>
                <w:szCs w:val="20"/>
              </w:rPr>
              <w:t>-Control de acceso físico a la entrada del Centro de Proceso de Datos (CPD) / Sala del servidor (AAA1)</w:t>
            </w:r>
          </w:p>
          <w:p>
            <w:pPr>
              <w:pStyle w:val="Normal1"/>
              <w:spacing w:lineRule="auto" w:line="276"/>
              <w:rPr>
                <w:rFonts w:ascii="Calibri" w:hAnsi="Calibri" w:eastAsia="Calibri" w:cs="Calibri"/>
                <w:sz w:val="20"/>
                <w:szCs w:val="20"/>
              </w:rPr>
            </w:pPr>
            <w:r>
              <w:rPr>
                <w:rFonts w:eastAsia="Calibri" w:cs="Calibri" w:ascii="Calibri" w:hAnsi="Calibri"/>
                <w:sz w:val="20"/>
                <w:szCs w:val="20"/>
              </w:rPr>
              <w:t>-Sistema de identificación, registro y gestión de incidencias. (A)</w:t>
            </w:r>
          </w:p>
          <w:p>
            <w:pPr>
              <w:pStyle w:val="Normal1"/>
              <w:spacing w:lineRule="auto" w:line="276"/>
              <w:rPr>
                <w:rFonts w:ascii="Calibri" w:hAnsi="Calibri" w:eastAsia="Calibri" w:cs="Calibri"/>
                <w:sz w:val="20"/>
                <w:szCs w:val="20"/>
              </w:rPr>
            </w:pPr>
            <w:r>
              <w:rPr>
                <w:rFonts w:eastAsia="Calibri" w:cs="Calibri" w:ascii="Calibri" w:hAnsi="Calibri"/>
                <w:sz w:val="20"/>
                <w:szCs w:val="20"/>
              </w:rPr>
              <w:t>-Sistema de gestión de copias de respaldo y recuperación de datos (A)</w:t>
            </w:r>
          </w:p>
          <w:p>
            <w:pPr>
              <w:pStyle w:val="Normal1"/>
              <w:spacing w:lineRule="auto" w:line="276"/>
              <w:rPr>
                <w:rFonts w:ascii="Calibri" w:hAnsi="Calibri" w:eastAsia="Calibri" w:cs="Calibri"/>
                <w:sz w:val="20"/>
                <w:szCs w:val="20"/>
              </w:rPr>
            </w:pPr>
            <w:r>
              <w:rPr>
                <w:rFonts w:eastAsia="Calibri" w:cs="Calibri" w:ascii="Calibri" w:hAnsi="Calibri"/>
                <w:sz w:val="20"/>
                <w:szCs w:val="20"/>
              </w:rPr>
              <w:t>-Sistema de alimentación ininterrumpida (SAI) / Grupo electrógeno (AAA1)</w:t>
            </w:r>
          </w:p>
          <w:p>
            <w:pPr>
              <w:pStyle w:val="Normal1"/>
              <w:spacing w:lineRule="auto" w:line="276"/>
              <w:rPr>
                <w:rFonts w:ascii="Calibri" w:hAnsi="Calibri" w:eastAsia="Calibri" w:cs="Calibri"/>
                <w:sz w:val="20"/>
                <w:szCs w:val="20"/>
              </w:rPr>
            </w:pPr>
            <w:r>
              <w:rPr>
                <w:rFonts w:eastAsia="Calibri" w:cs="Calibri" w:ascii="Calibri" w:hAnsi="Calibri"/>
                <w:sz w:val="20"/>
                <w:szCs w:val="20"/>
              </w:rPr>
              <w:t>-Plan de continuidad de negocio (AAA2)</w:t>
            </w:r>
          </w:p>
          <w:p>
            <w:pPr>
              <w:pStyle w:val="Normal1"/>
              <w:spacing w:lineRule="auto" w:line="276"/>
              <w:rPr>
                <w:rFonts w:ascii="Calibri" w:hAnsi="Calibri" w:eastAsia="Calibri" w:cs="Calibri"/>
                <w:sz w:val="20"/>
                <w:szCs w:val="20"/>
              </w:rPr>
            </w:pPr>
            <w:r>
              <w:rPr>
                <w:rFonts w:eastAsia="Calibri" w:cs="Calibri" w:ascii="Calibri" w:hAnsi="Calibri"/>
                <w:sz w:val="20"/>
                <w:szCs w:val="20"/>
              </w:rPr>
              <w:t>-Plan de continuidad o contingencia TIC (AAA2)</w:t>
            </w:r>
          </w:p>
          <w:p>
            <w:pPr>
              <w:pStyle w:val="Normal1"/>
              <w:spacing w:lineRule="auto" w:line="276"/>
              <w:rPr>
                <w:rFonts w:ascii="Calibri" w:hAnsi="Calibri" w:eastAsia="Calibri" w:cs="Calibri"/>
                <w:sz w:val="20"/>
                <w:szCs w:val="20"/>
              </w:rPr>
            </w:pPr>
            <w:r>
              <w:rPr>
                <w:rFonts w:eastAsia="Calibri" w:cs="Calibri" w:ascii="Calibri" w:hAnsi="Calibri"/>
                <w:sz w:val="20"/>
                <w:szCs w:val="20"/>
              </w:rPr>
              <w:t>-Plan de Recuperación ante desastres (PRD) (AAA2)</w:t>
            </w:r>
          </w:p>
          <w:p>
            <w:pPr>
              <w:pStyle w:val="Normal1"/>
              <w:spacing w:lineRule="auto" w:line="276"/>
              <w:rPr>
                <w:rFonts w:ascii="Calibri" w:hAnsi="Calibri" w:eastAsia="Calibri" w:cs="Calibri"/>
                <w:sz w:val="20"/>
                <w:szCs w:val="20"/>
              </w:rPr>
            </w:pPr>
            <w:r>
              <w:rPr>
                <w:rFonts w:eastAsia="Calibri" w:cs="Calibri" w:ascii="Calibri" w:hAnsi="Calibri"/>
                <w:sz w:val="20"/>
                <w:szCs w:val="20"/>
              </w:rPr>
              <w:t>-Sistema informático redundante (AAA1)</w:t>
            </w:r>
          </w:p>
          <w:p>
            <w:pPr>
              <w:pStyle w:val="Normal1"/>
              <w:spacing w:lineRule="auto" w:line="276"/>
              <w:rPr>
                <w:rFonts w:ascii="Calibri" w:hAnsi="Calibri" w:eastAsia="Calibri" w:cs="Calibri"/>
                <w:sz w:val="20"/>
                <w:szCs w:val="20"/>
              </w:rPr>
            </w:pPr>
            <w:r>
              <w:rPr>
                <w:rFonts w:eastAsia="Calibri" w:cs="Calibri" w:ascii="Calibri" w:hAnsi="Calibri"/>
                <w:sz w:val="20"/>
                <w:szCs w:val="20"/>
              </w:rPr>
              <w:t>-Auditoría de seguridad los sistemas implicados en el proveedor (AA)</w:t>
            </w:r>
          </w:p>
          <w:p>
            <w:pPr>
              <w:pStyle w:val="Normal1"/>
              <w:spacing w:lineRule="auto" w:line="276"/>
              <w:rPr>
                <w:rFonts w:ascii="Calibri" w:hAnsi="Calibri" w:eastAsia="Calibri" w:cs="Calibri"/>
                <w:sz w:val="22"/>
                <w:szCs w:val="22"/>
              </w:rPr>
            </w:pPr>
            <w:r>
              <w:rPr>
                <w:rFonts w:eastAsia="Calibri" w:cs="Calibri" w:ascii="Calibri" w:hAnsi="Calibri"/>
                <w:sz w:val="20"/>
                <w:szCs w:val="20"/>
              </w:rPr>
              <w:t>-Auditoría de la seguridad de las redes (AA)</w:t>
            </w:r>
          </w:p>
        </w:tc>
      </w:tr>
      <w:tr>
        <w:trPr>
          <w:trHeight w:val="315" w:hRule="atLeast"/>
        </w:trPr>
        <w:tc>
          <w:tcPr>
            <w:tcW w:w="8503" w:type="dxa"/>
            <w:gridSpan w:val="3"/>
            <w:tcBorders>
              <w:left w:val="single" w:sz="6" w:space="0" w:color="000000"/>
              <w:bottom w:val="single" w:sz="6"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b/>
                <w:bCs/>
                <w:sz w:val="20"/>
                <w:szCs w:val="20"/>
              </w:rPr>
              <w:t>Medidas de seguridad adicionales</w:t>
            </w:r>
          </w:p>
        </w:tc>
      </w:tr>
      <w:tr>
        <w:trPr>
          <w:trHeight w:val="3135" w:hRule="atLeast"/>
        </w:trPr>
        <w:tc>
          <w:tcPr>
            <w:tcW w:w="8503" w:type="dxa"/>
            <w:gridSpan w:val="3"/>
            <w:tcBorders>
              <w:left w:val="single" w:sz="6" w:space="0" w:color="000000"/>
              <w:bottom w:val="single" w:sz="6" w:space="0" w:color="000000"/>
              <w:right w:val="single" w:sz="6" w:space="0" w:color="000000"/>
            </w:tcBorders>
            <w:shd w:fill="F3F3F3" w:val="clear"/>
          </w:tcPr>
          <w:p>
            <w:pPr>
              <w:pStyle w:val="Normal1"/>
              <w:spacing w:lineRule="auto" w:line="276"/>
              <w:rPr>
                <w:rFonts w:ascii="Calibri" w:hAnsi="Calibri" w:eastAsia="Calibri" w:cs="Calibri"/>
                <w:sz w:val="22"/>
                <w:szCs w:val="22"/>
              </w:rPr>
            </w:pPr>
            <w:r>
              <w:rPr>
                <w:rFonts w:eastAsia="Calibri" w:cs="Calibri" w:ascii="Calibri" w:hAnsi="Calibri"/>
                <w:sz w:val="22"/>
                <w:szCs w:val="22"/>
              </w:rPr>
            </w:r>
          </w:p>
          <w:p>
            <w:pPr>
              <w:pStyle w:val="Normal1"/>
              <w:spacing w:lineRule="auto" w:line="276"/>
              <w:rPr>
                <w:rFonts w:ascii="Calibri" w:hAnsi="Calibri" w:eastAsia="Calibri" w:cs="Calibri"/>
                <w:sz w:val="20"/>
                <w:szCs w:val="20"/>
              </w:rPr>
            </w:pPr>
            <w:r>
              <w:rPr>
                <w:rFonts w:eastAsia="Calibri" w:cs="Calibri" w:ascii="Calibri" w:hAnsi="Calibri"/>
                <w:sz w:val="20"/>
                <w:szCs w:val="20"/>
              </w:rPr>
            </w:r>
          </w:p>
          <w:p>
            <w:pPr>
              <w:pStyle w:val="Normal1"/>
              <w:spacing w:lineRule="auto" w:line="276"/>
              <w:rPr>
                <w:rFonts w:ascii="Calibri" w:hAnsi="Calibri" w:eastAsia="Calibri" w:cs="Calibri"/>
                <w:sz w:val="20"/>
                <w:szCs w:val="20"/>
              </w:rPr>
            </w:pPr>
            <w:r>
              <w:rPr>
                <w:rFonts w:eastAsia="Calibri" w:cs="Calibri" w:ascii="Calibri" w:hAnsi="Calibri"/>
                <w:sz w:val="20"/>
                <w:szCs w:val="20"/>
              </w:rPr>
            </w:r>
          </w:p>
          <w:p>
            <w:pPr>
              <w:pStyle w:val="Normal1"/>
              <w:spacing w:lineRule="auto" w:line="276"/>
              <w:rPr>
                <w:rFonts w:ascii="Calibri" w:hAnsi="Calibri" w:eastAsia="Calibri" w:cs="Calibri"/>
                <w:sz w:val="20"/>
                <w:szCs w:val="20"/>
              </w:rPr>
            </w:pPr>
            <w:r>
              <w:rPr>
                <w:rFonts w:eastAsia="Calibri" w:cs="Calibri" w:ascii="Calibri" w:hAnsi="Calibri"/>
                <w:sz w:val="20"/>
                <w:szCs w:val="20"/>
              </w:rPr>
            </w:r>
          </w:p>
          <w:p>
            <w:pPr>
              <w:pStyle w:val="Normal1"/>
              <w:spacing w:lineRule="auto" w:line="276"/>
              <w:rPr>
                <w:rFonts w:ascii="Calibri" w:hAnsi="Calibri" w:eastAsia="Calibri" w:cs="Calibri"/>
                <w:sz w:val="20"/>
                <w:szCs w:val="20"/>
              </w:rPr>
            </w:pPr>
            <w:r>
              <w:rPr>
                <w:rFonts w:eastAsia="Calibri" w:cs="Calibri" w:ascii="Calibri" w:hAnsi="Calibri"/>
                <w:sz w:val="20"/>
                <w:szCs w:val="20"/>
              </w:rPr>
            </w:r>
          </w:p>
        </w:tc>
      </w:tr>
    </w:tbl>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58" w:name="_heading=h.d648clx2x9le"/>
      <w:bookmarkStart w:id="59" w:name="_heading=h.d648clx2x9le"/>
      <w:bookmarkEnd w:id="59"/>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60" w:name="_heading=h.eat8vrm7ilan"/>
      <w:bookmarkStart w:id="61" w:name="_heading=h.eat8vrm7ilan"/>
      <w:bookmarkEnd w:id="61"/>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62" w:name="_heading=h.35kf8xp1jxoh"/>
      <w:bookmarkStart w:id="63" w:name="_heading=h.35kf8xp1jxoh"/>
      <w:bookmarkEnd w:id="63"/>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64" w:name="_heading=h.yz3tmmlja7yl"/>
      <w:bookmarkStart w:id="65" w:name="_heading=h.yz3tmmlja7yl"/>
      <w:bookmarkEnd w:id="65"/>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66" w:name="_heading=h.9vkxxc72jbwy"/>
      <w:bookmarkStart w:id="67" w:name="_heading=h.9vkxxc72jbwy"/>
      <w:bookmarkEnd w:id="67"/>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68" w:name="_heading=h.cjg2xbw4sx8z"/>
      <w:bookmarkStart w:id="69" w:name="_heading=h.cjg2xbw4sx8z"/>
      <w:bookmarkEnd w:id="69"/>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70" w:name="_heading=h.wi3yyfevvxwg"/>
      <w:bookmarkStart w:id="71" w:name="_heading=h.wi3yyfevvxwg"/>
      <w:bookmarkEnd w:id="71"/>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72" w:name="_heading=h.268w9gm9gbbw"/>
      <w:bookmarkStart w:id="73" w:name="_heading=h.268w9gm9gbbw"/>
      <w:bookmarkEnd w:id="73"/>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p>
    <w:p>
      <w:pPr>
        <w:pStyle w:val="Normal1"/>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p>
    <w:p>
      <w:pPr>
        <w:pStyle w:val="Normal1"/>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74" w:name="_heading=h.n8f0fcjghasz"/>
      <w:bookmarkStart w:id="75" w:name="_heading=h.n8f0fcjghasz"/>
      <w:bookmarkEnd w:id="75"/>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76" w:name="_heading=h.co413kb8ri71"/>
      <w:bookmarkStart w:id="77" w:name="_heading=h.co413kb8ri71"/>
      <w:bookmarkEnd w:id="77"/>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78" w:name="_heading=h.s8uwblxxb2vt"/>
      <w:bookmarkStart w:id="79" w:name="_heading=h.s8uwblxxb2vt"/>
      <w:bookmarkEnd w:id="79"/>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80" w:name="_heading=h.lnxq9vc1vewc"/>
      <w:bookmarkStart w:id="81" w:name="_heading=h.lnxq9vc1vewc"/>
      <w:bookmarkEnd w:id="81"/>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82" w:name="_heading=h.2hgrutj4wvp"/>
      <w:bookmarkStart w:id="83" w:name="_heading=h.2hgrutj4wvp"/>
      <w:bookmarkEnd w:id="83"/>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84" w:name="_heading=h.cnsy9bn02ltp"/>
      <w:bookmarkStart w:id="85" w:name="_heading=h.cnsy9bn02ltp"/>
      <w:bookmarkEnd w:id="85"/>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86" w:name="_heading=h.5kiq7qhykfc7"/>
      <w:bookmarkStart w:id="87" w:name="_heading=h.5kiq7qhykfc7"/>
      <w:bookmarkEnd w:id="87"/>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88" w:name="_heading=h.c5qfby305dwr"/>
      <w:bookmarkStart w:id="89" w:name="_heading=h.c5qfby305dwr"/>
      <w:bookmarkEnd w:id="89"/>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90" w:name="_heading=h.ccnn5n9epr2p"/>
      <w:bookmarkStart w:id="91" w:name="_heading=h.ccnn5n9epr2p"/>
      <w:bookmarkEnd w:id="91"/>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92" w:name="_heading=h.2501yth34p5y"/>
      <w:bookmarkStart w:id="93" w:name="_heading=h.2501yth34p5y"/>
      <w:bookmarkEnd w:id="93"/>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94" w:name="_heading=h.ury24p17j3ia"/>
      <w:bookmarkStart w:id="95" w:name="_heading=h.ury24p17j3ia"/>
      <w:bookmarkEnd w:id="95"/>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96" w:name="_heading=h.qpw92tltwti5"/>
      <w:bookmarkStart w:id="97" w:name="_heading=h.qpw92tltwti5"/>
      <w:bookmarkEnd w:id="97"/>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98" w:name="_heading=h.2jj8ofau98vi"/>
      <w:bookmarkStart w:id="99" w:name="_heading=h.2jj8ofau98vi"/>
      <w:bookmarkEnd w:id="99"/>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100" w:name="_heading=h.drb3kv1sbe93"/>
      <w:bookmarkStart w:id="101" w:name="_heading=h.drb3kv1sbe93"/>
      <w:bookmarkEnd w:id="101"/>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102" w:name="_heading=h.9qyll5tp4iej"/>
      <w:bookmarkStart w:id="103" w:name="_heading=h.9qyll5tp4iej"/>
      <w:bookmarkEnd w:id="103"/>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104" w:name="_heading=h.e0yuxhciezr0"/>
      <w:bookmarkStart w:id="105" w:name="_heading=h.e0yuxhciezr0"/>
      <w:bookmarkEnd w:id="105"/>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106" w:name="_heading=h.sseiogva5pfr"/>
      <w:bookmarkStart w:id="107" w:name="_heading=h.sseiogva5pfr"/>
      <w:bookmarkEnd w:id="107"/>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108" w:name="_heading=h.eur1d1zf49id"/>
      <w:bookmarkStart w:id="109" w:name="_heading=h.eur1d1zf49id"/>
      <w:bookmarkEnd w:id="109"/>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110" w:name="_heading=h.xkjukl37r3nh"/>
      <w:bookmarkStart w:id="111" w:name="_heading=h.xkjukl37r3nh"/>
      <w:bookmarkEnd w:id="111"/>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112" w:name="_heading=h.m7ue92u2nh41"/>
      <w:bookmarkStart w:id="113" w:name="_heading=h.m7ue92u2nh41"/>
      <w:bookmarkEnd w:id="113"/>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r>
      <w:bookmarkStart w:id="114" w:name="_heading=h.qptx06etyfhx"/>
      <w:bookmarkStart w:id="115" w:name="_heading=h.qptx06etyfhx"/>
      <w:bookmarkEnd w:id="115"/>
    </w:p>
    <w:p>
      <w:pPr>
        <w:pStyle w:val="Normal1"/>
        <w:rPr/>
      </w:pPr>
      <w:r>
        <w:rPr/>
      </w:r>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none"/>
          <w:shd w:fill="auto" w:val="clear"/>
          <w:vertAlign w:val="baseline"/>
        </w:rPr>
      </w:pPr>
      <w:bookmarkStart w:id="116" w:name="_heading=h.qdzu3cbds8l6"/>
      <w:bookmarkEnd w:id="116"/>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t>Apéndice II: Modelo para la solicitud de autorización específica de subencargos</w:t>
      </w:r>
    </w:p>
    <w:p>
      <w:pPr>
        <w:pStyle w:val="Normal1"/>
        <w:widowControl/>
        <w:ind w:hanging="0" w:left="1133"/>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spacing w:lineRule="auto" w:line="216" w:before="111" w:after="0"/>
        <w:ind w:hanging="0" w:left="283" w:right="-607"/>
        <w:rPr>
          <w:rFonts w:ascii="Arial Narrow" w:hAnsi="Arial Narrow" w:eastAsia="Arial Narrow" w:cs="Arial Narrow"/>
          <w:sz w:val="22"/>
          <w:szCs w:val="22"/>
        </w:rPr>
      </w:pPr>
      <w:r>
        <w:rPr>
          <w:rFonts w:eastAsia="Arial Narrow" w:cs="Arial Narrow" w:ascii="Arial Narrow" w:hAnsi="Arial Narrow"/>
          <w:sz w:val="22"/>
          <w:szCs w:val="22"/>
        </w:rPr>
        <w:t>Cuando sea necesaria la autorización específica de uno o más subencargados (distintos de los expresamente autorizados a la firma del contrato) se completará el siguiente apartado:</w:t>
      </w:r>
    </w:p>
    <w:p>
      <w:pPr>
        <w:pStyle w:val="Normal1"/>
        <w:widowControl/>
        <w:spacing w:lineRule="auto" w:line="276"/>
        <w:jc w:val="both"/>
        <w:rPr>
          <w:rFonts w:ascii="Arial Narrow" w:hAnsi="Arial Narrow" w:eastAsia="Arial Narrow" w:cs="Arial Narrow"/>
          <w:sz w:val="22"/>
          <w:szCs w:val="22"/>
        </w:rPr>
      </w:pPr>
      <w:r>
        <w:rPr>
          <w:rFonts w:eastAsia="Arial Narrow" w:cs="Arial Narrow" w:ascii="Arial Narrow" w:hAnsi="Arial Narrow"/>
          <w:sz w:val="22"/>
          <w:szCs w:val="22"/>
        </w:rPr>
        <w:tab/>
      </w:r>
    </w:p>
    <w:tbl>
      <w:tblPr>
        <w:tblStyle w:val="Table17"/>
        <w:tblW w:w="9495" w:type="dxa"/>
        <w:jc w:val="left"/>
        <w:tblInd w:w="245" w:type="dxa"/>
        <w:tblLayout w:type="fixed"/>
        <w:tblCellMar>
          <w:top w:w="0" w:type="dxa"/>
          <w:left w:w="108" w:type="dxa"/>
          <w:bottom w:w="0" w:type="dxa"/>
          <w:right w:w="108" w:type="dxa"/>
        </w:tblCellMar>
        <w:tblLook w:val="0400"/>
      </w:tblPr>
      <w:tblGrid>
        <w:gridCol w:w="1229"/>
        <w:gridCol w:w="1260"/>
        <w:gridCol w:w="1200"/>
        <w:gridCol w:w="1021"/>
        <w:gridCol w:w="1049"/>
        <w:gridCol w:w="1185"/>
        <w:gridCol w:w="1246"/>
        <w:gridCol w:w="1303"/>
      </w:tblGrid>
      <w:tr>
        <w:trPr>
          <w:trHeight w:val="1436" w:hRule="atLeast"/>
        </w:trPr>
        <w:tc>
          <w:tcPr>
            <w:tcW w:w="1229" w:type="dxa"/>
            <w:tcBorders>
              <w:top w:val="single" w:sz="4" w:space="0" w:color="000000"/>
              <w:left w:val="single" w:sz="4" w:space="0" w:color="000000"/>
              <w:bottom w:val="single" w:sz="4" w:space="0" w:color="000000"/>
              <w:right w:val="single" w:sz="4" w:space="0" w:color="000000"/>
            </w:tcBorders>
            <w:shd w:fill="D9D9D9" w:val="clear"/>
          </w:tcPr>
          <w:sdt>
            <w:sdtPr>
              <w:id w:val="1262196645"/>
              <w:tag w:val="goog_rdk_5"/>
              <w:lock w:val="contentLocked"/>
            </w:sdtPr>
            <w:sdtContent>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Identificación de los encargados</w:t>
                </w:r>
              </w:p>
            </w:sdtContent>
          </w:sdt>
        </w:tc>
        <w:tc>
          <w:tcPr>
            <w:tcW w:w="1260"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Finalidad del tratamiento</w:t>
            </w:r>
          </w:p>
        </w:tc>
        <w:tc>
          <w:tcPr>
            <w:tcW w:w="1200"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Descripción del tratamiento</w:t>
            </w:r>
          </w:p>
        </w:tc>
        <w:tc>
          <w:tcPr>
            <w:tcW w:w="1021"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Duración del tratamiento</w:t>
            </w:r>
          </w:p>
        </w:tc>
        <w:tc>
          <w:tcPr>
            <w:tcW w:w="1049"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 xml:space="preserve">Terceros países a los que se transfieren los datos personales </w:t>
            </w:r>
            <w:r>
              <w:rPr>
                <w:rStyle w:val="FootnoteReference"/>
                <w:rFonts w:eastAsia="Arial Narrow" w:cs="Arial Narrow" w:ascii="Arial Narrow" w:hAnsi="Arial Narrow"/>
                <w:b/>
                <w:bCs/>
                <w:sz w:val="18"/>
                <w:szCs w:val="18"/>
                <w:vertAlign w:val="superscript"/>
              </w:rPr>
              <w:footnoteReference w:id="2"/>
            </w:r>
          </w:p>
        </w:tc>
        <w:tc>
          <w:tcPr>
            <w:tcW w:w="1185"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Categoría y formato de los datos transferidos</w:t>
            </w:r>
          </w:p>
        </w:tc>
        <w:tc>
          <w:tcPr>
            <w:tcW w:w="1246"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Herramienta de transferencia</w:t>
            </w:r>
            <w:r>
              <w:rPr>
                <w:rStyle w:val="FootnoteReference"/>
                <w:rFonts w:eastAsia="Arial Narrow" w:cs="Arial Narrow" w:ascii="Arial Narrow" w:hAnsi="Arial Narrow"/>
                <w:b/>
                <w:bCs/>
                <w:sz w:val="18"/>
                <w:szCs w:val="18"/>
                <w:vertAlign w:val="superscript"/>
              </w:rPr>
              <w:footnoteReference w:id="3"/>
            </w:r>
          </w:p>
        </w:tc>
        <w:tc>
          <w:tcPr>
            <w:tcW w:w="1303"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Mecanismos de seguridad del subencargado ( en caso de que se requiera que disponga del ENS u otro)</w:t>
            </w:r>
          </w:p>
        </w:tc>
      </w:tr>
      <w:tr>
        <w:trPr>
          <w:trHeight w:val="300" w:hRule="atLeast"/>
        </w:trPr>
        <w:tc>
          <w:tcPr>
            <w:tcW w:w="8190" w:type="dxa"/>
            <w:gridSpan w:val="7"/>
            <w:tcBorders>
              <w:top w:val="single" w:sz="4" w:space="0" w:color="000000"/>
              <w:left w:val="single" w:sz="4" w:space="0" w:color="000000"/>
              <w:bottom w:val="single" w:sz="4" w:space="0" w:color="000000"/>
              <w:right w:val="single" w:sz="4" w:space="0" w:color="000000"/>
            </w:tcBorders>
            <w:shd w:fill="F3F3F3" w:val="clear"/>
          </w:tcPr>
          <w:p>
            <w:pPr>
              <w:pStyle w:val="Normal1"/>
              <w:widowControl/>
              <w:rPr>
                <w:rFonts w:ascii="Arial Narrow" w:hAnsi="Arial Narrow" w:eastAsia="Arial Narrow" w:cs="Arial Narrow"/>
                <w:sz w:val="18"/>
                <w:szCs w:val="18"/>
                <w:shd w:fill="F3F3F3" w:val="clear"/>
              </w:rPr>
            </w:pPr>
            <w:r>
              <w:rPr>
                <w:rFonts w:eastAsia="Arial Narrow" w:cs="Arial Narrow" w:ascii="Arial Narrow" w:hAnsi="Arial Narrow"/>
                <w:sz w:val="18"/>
                <w:szCs w:val="18"/>
                <w:shd w:fill="F3F3F3" w:val="clear"/>
              </w:rPr>
              <w:t xml:space="preserve">1º </w:t>
            </w:r>
          </w:p>
        </w:tc>
        <w:tc>
          <w:tcPr>
            <w:tcW w:w="1303" w:type="dxa"/>
            <w:tcBorders>
              <w:top w:val="single" w:sz="4" w:space="0" w:color="000000"/>
              <w:left w:val="single" w:sz="4" w:space="0" w:color="000000"/>
              <w:bottom w:val="single" w:sz="4" w:space="0" w:color="000000"/>
              <w:right w:val="single" w:sz="4" w:space="0" w:color="000000"/>
            </w:tcBorders>
            <w:shd w:fill="F3F3F3" w:val="clear"/>
          </w:tcPr>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tc>
      </w:tr>
      <w:tr>
        <w:trPr/>
        <w:tc>
          <w:tcPr>
            <w:tcW w:w="1229"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Razón social: [-]</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Dirección y país de la sede: [-]</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Sector económico: [-]</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N° de registro mercantil:  [-]</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Dirección de contacto genérica: [-]</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Datos de contacto del RPD o contacto para la protección de la intimidad: [-]</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Lista que debe cumplimentarse para cada subencargado de tratamiento</w:t>
            </w:r>
          </w:p>
        </w:tc>
        <w:tc>
          <w:tcPr>
            <w:tcW w:w="1260"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[Descripción de la finalidad del tratamiento efectuado por el subencargado del tratamiento y delimitación de responsabilidades entre subencargados del tratamiento].</w:t>
            </w:r>
          </w:p>
        </w:tc>
        <w:tc>
          <w:tcPr>
            <w:tcW w:w="1200"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r>
          </w:p>
        </w:tc>
        <w:tc>
          <w:tcPr>
            <w:tcW w:w="1021"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r>
          </w:p>
        </w:tc>
        <w:tc>
          <w:tcPr>
            <w:tcW w:w="1049"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[ninguno]</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o</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Lista de terceros países [-]</w:t>
            </w:r>
          </w:p>
        </w:tc>
        <w:tc>
          <w:tcPr>
            <w:tcW w:w="1185"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Tratamiento de datos personales : [sí o no]</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Categorías de datos personales: [-]</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Formato de los datos personales: [-]</w:t>
            </w:r>
          </w:p>
        </w:tc>
        <w:tc>
          <w:tcPr>
            <w:tcW w:w="1246" w:type="dxa"/>
            <w:tcBorders>
              <w:top w:val="single" w:sz="4" w:space="0" w:color="000000"/>
              <w:left w:val="single" w:sz="4" w:space="0" w:color="000000"/>
              <w:bottom w:val="single" w:sz="4" w:space="0" w:color="000000"/>
              <w:right w:val="single" w:sz="4" w:space="0" w:color="000000"/>
            </w:tcBorders>
          </w:tcPr>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t>[Decisión de adecuación]</w:t>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t>[SCCs]</w:t>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t>[BCR]</w:t>
            </w:r>
          </w:p>
        </w:tc>
        <w:tc>
          <w:tcPr>
            <w:tcW w:w="1303" w:type="dxa"/>
            <w:tcBorders>
              <w:top w:val="single" w:sz="4" w:space="0" w:color="000000"/>
              <w:left w:val="single" w:sz="4" w:space="0" w:color="000000"/>
              <w:bottom w:val="single" w:sz="4" w:space="0" w:color="000000"/>
              <w:right w:val="single" w:sz="4" w:space="0" w:color="000000"/>
            </w:tcBorders>
          </w:tcPr>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tc>
      </w:tr>
      <w:tr>
        <w:trPr>
          <w:trHeight w:val="180" w:hRule="atLeast"/>
        </w:trPr>
        <w:tc>
          <w:tcPr>
            <w:tcW w:w="8190" w:type="dxa"/>
            <w:gridSpan w:val="7"/>
            <w:tcBorders>
              <w:top w:val="single" w:sz="4" w:space="0" w:color="000000"/>
              <w:left w:val="single" w:sz="4" w:space="0" w:color="000000"/>
              <w:bottom w:val="single" w:sz="4" w:space="0" w:color="000000"/>
              <w:right w:val="single" w:sz="4" w:space="0" w:color="000000"/>
            </w:tcBorders>
            <w:shd w:fill="F3F3F3" w:val="clear"/>
          </w:tcPr>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t>2º(...)</w:t>
            </w:r>
          </w:p>
        </w:tc>
        <w:tc>
          <w:tcPr>
            <w:tcW w:w="1303" w:type="dxa"/>
            <w:tcBorders>
              <w:top w:val="single" w:sz="4" w:space="0" w:color="000000"/>
              <w:left w:val="single" w:sz="4" w:space="0" w:color="000000"/>
              <w:bottom w:val="single" w:sz="4" w:space="0" w:color="000000"/>
              <w:right w:val="single" w:sz="4" w:space="0" w:color="000000"/>
            </w:tcBorders>
            <w:shd w:fill="F3F3F3" w:val="clear"/>
          </w:tcPr>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tc>
      </w:tr>
    </w:tbl>
    <w:p>
      <w:pPr>
        <w:pStyle w:val="Normal1"/>
        <w:keepNext w:val="true"/>
        <w:keepLines/>
        <w:pageBreakBefore w:val="false"/>
        <w:widowControl w:val="false"/>
        <w:pBdr/>
        <w:shd w:val="clear" w:fill="auto"/>
        <w:spacing w:lineRule="auto" w:line="240" w:before="0" w:after="0"/>
        <w:ind w:hanging="0" w:left="0" w:right="-227"/>
        <w:jc w:val="left"/>
        <w:rPr>
          <w:rFonts w:ascii="Arial Narrow" w:hAnsi="Arial Narrow" w:eastAsia="Arial Narrow" w:cs="Arial Narrow"/>
          <w:b/>
          <w:bCs/>
          <w:sz w:val="22"/>
          <w:szCs w:val="22"/>
          <w:u w:val="single"/>
        </w:rPr>
      </w:pPr>
      <w:r>
        <w:rPr>
          <w:rFonts w:eastAsia="Arial Narrow" w:cs="Arial Narrow" w:ascii="Arial Narrow" w:hAnsi="Arial Narrow"/>
          <w:b/>
          <w:bCs/>
          <w:sz w:val="22"/>
          <w:szCs w:val="22"/>
          <w:u w:val="single"/>
        </w:rPr>
      </w:r>
      <w:bookmarkStart w:id="117" w:name="_heading=h.jfb0mc616bfv"/>
      <w:bookmarkStart w:id="118" w:name="_heading=h.jfb0mc616bfv"/>
      <w:bookmarkEnd w:id="118"/>
    </w:p>
    <w:p>
      <w:pPr>
        <w:pStyle w:val="Normal1"/>
        <w:keepNext w:val="true"/>
        <w:keepLines/>
        <w:pageBreakBefore w:val="false"/>
        <w:widowControl w:val="false"/>
        <w:pBdr/>
        <w:shd w:val="clear" w:fill="auto"/>
        <w:spacing w:lineRule="auto" w:line="240" w:before="0" w:after="0"/>
        <w:ind w:hanging="0" w:left="0" w:right="-227"/>
        <w:jc w:val="left"/>
        <w:rPr>
          <w:rFonts w:ascii="Arial Narrow" w:hAnsi="Arial Narrow" w:eastAsia="Arial Narrow" w:cs="Arial Narrow"/>
          <w:b/>
          <w:bCs/>
          <w:sz w:val="22"/>
          <w:szCs w:val="22"/>
          <w:u w:val="single"/>
        </w:rPr>
      </w:pPr>
      <w:r>
        <w:rPr>
          <w:rFonts w:eastAsia="Arial Narrow" w:cs="Arial Narrow" w:ascii="Arial Narrow" w:hAnsi="Arial Narrow"/>
          <w:b/>
          <w:bCs/>
          <w:sz w:val="22"/>
          <w:szCs w:val="22"/>
          <w:u w:val="single"/>
        </w:rPr>
      </w:r>
      <w:bookmarkStart w:id="119" w:name="_heading=h.7lmmeo967sfb"/>
      <w:bookmarkStart w:id="120" w:name="_heading=h.7lmmeo967sfb"/>
      <w:bookmarkEnd w:id="120"/>
    </w:p>
    <w:p>
      <w:pPr>
        <w:pStyle w:val="Normal1"/>
        <w:keepNext w:val="true"/>
        <w:keepLines/>
        <w:pageBreakBefore w:val="false"/>
        <w:widowControl w:val="false"/>
        <w:pBdr/>
        <w:shd w:val="clear" w:fill="auto"/>
        <w:spacing w:lineRule="auto" w:line="240" w:before="0" w:after="0"/>
        <w:ind w:hanging="0" w:left="1133" w:right="-227"/>
        <w:jc w:val="left"/>
        <w:rPr>
          <w:rFonts w:ascii="Arial Narrow" w:hAnsi="Arial Narrow" w:eastAsia="Arial Narrow" w:cs="Arial Narrow"/>
          <w:b/>
          <w:bCs/>
          <w:i w:val="false"/>
          <w:i w:val="false"/>
          <w:iCs w:val="false"/>
          <w:caps w:val="false"/>
          <w:smallCaps w:val="false"/>
          <w:strike w:val="false"/>
          <w:dstrike w:val="false"/>
          <w:color w:val="000000"/>
          <w:position w:val="0"/>
          <w:sz w:val="24"/>
          <w:sz w:val="24"/>
          <w:szCs w:val="24"/>
          <w:u w:val="single"/>
          <w:shd w:fill="auto" w:val="clear"/>
          <w:vertAlign w:val="baseline"/>
        </w:rPr>
      </w:pPr>
      <w:bookmarkStart w:id="121" w:name="_heading=h.exsh9jyh3r38"/>
      <w:bookmarkEnd w:id="121"/>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t xml:space="preserve">Apéndice III:  Plantilla para reporte de incidentes de seguridad </w:t>
      </w:r>
    </w:p>
    <w:p>
      <w:pPr>
        <w:pStyle w:val="Normal1"/>
        <w:widowControl/>
        <w:ind w:hanging="0" w:left="496" w:right="-227"/>
        <w:jc w:val="center"/>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18"/>
        <w:tblW w:w="9795" w:type="dxa"/>
        <w:jc w:val="left"/>
        <w:tblInd w:w="-269" w:type="dxa"/>
        <w:tblLayout w:type="fixed"/>
        <w:tblCellMar>
          <w:top w:w="0" w:type="dxa"/>
          <w:left w:w="108" w:type="dxa"/>
          <w:bottom w:w="0" w:type="dxa"/>
          <w:right w:w="108" w:type="dxa"/>
        </w:tblCellMar>
        <w:tblLook w:val="0400"/>
      </w:tblPr>
      <w:tblGrid>
        <w:gridCol w:w="3059"/>
        <w:gridCol w:w="6735"/>
      </w:tblGrid>
      <w:tr>
        <w:trPr>
          <w:trHeight w:val="405" w:hRule="atLeast"/>
        </w:trPr>
        <w:tc>
          <w:tcPr>
            <w:tcW w:w="3059" w:type="dxa"/>
            <w:tcBorders>
              <w:top w:val="single" w:sz="6" w:space="0" w:color="000000"/>
              <w:left w:val="single" w:sz="6" w:space="0" w:color="000000"/>
              <w:bottom w:val="single" w:sz="6" w:space="0" w:color="000000"/>
              <w:right w:val="single" w:sz="6" w:space="0" w:color="000000"/>
            </w:tcBorders>
            <w:shd w:fill="D9D9D9" w:val="clear"/>
            <w:vAlign w:val="center"/>
          </w:tcPr>
          <w:sdt>
            <w:sdtPr>
              <w:id w:val="1954923407"/>
              <w:tag w:val="goog_rdk_6"/>
              <w:lock w:val="contentLocked"/>
            </w:sdtPr>
            <w:sdtContent>
              <w:p>
                <w:pPr>
                  <w:pStyle w:val="Normal1"/>
                  <w:widowControl/>
                  <w:ind w:right="-74"/>
                  <w:rPr>
                    <w:rFonts w:ascii="Arial Narrow" w:hAnsi="Arial Narrow" w:eastAsia="Arial Narrow" w:cs="Arial Narrow"/>
                    <w:sz w:val="18"/>
                    <w:szCs w:val="18"/>
                  </w:rPr>
                </w:pPr>
                <w:r>
                  <w:rPr>
                    <w:rFonts w:eastAsia="Arial Narrow" w:cs="Arial Narrow" w:ascii="Arial Narrow" w:hAnsi="Arial Narrow"/>
                    <w:sz w:val="18"/>
                    <w:szCs w:val="18"/>
                  </w:rPr>
                  <w:t>NOMBRE DE LA COMPAÑÍA</w:t>
                </w:r>
              </w:p>
            </w:sdtContent>
          </w:sdt>
        </w:tc>
        <w:tc>
          <w:tcPr>
            <w:tcW w:w="6735"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rPr>
            </w:pPr>
            <w:r>
              <w:rPr>
                <w:rFonts w:eastAsia="Arial Narrow" w:cs="Arial Narrow" w:ascii="Arial Narrow" w:hAnsi="Arial Narrow"/>
                <w:sz w:val="18"/>
                <w:szCs w:val="18"/>
              </w:rPr>
              <w:t xml:space="preserve"> </w:t>
            </w:r>
          </w:p>
        </w:tc>
      </w:tr>
      <w:tr>
        <w:trPr>
          <w:trHeight w:val="429" w:hRule="atLeast"/>
        </w:trPr>
        <w:tc>
          <w:tcPr>
            <w:tcW w:w="3059"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rFonts w:ascii="Arial Narrow" w:hAnsi="Arial Narrow" w:eastAsia="Arial Narrow" w:cs="Arial Narrow"/>
                <w:sz w:val="18"/>
                <w:szCs w:val="18"/>
              </w:rPr>
            </w:pPr>
            <w:r>
              <w:rPr>
                <w:rFonts w:eastAsia="Arial Narrow" w:cs="Arial Narrow" w:ascii="Arial Narrow" w:hAnsi="Arial Narrow"/>
                <w:sz w:val="18"/>
                <w:szCs w:val="18"/>
              </w:rPr>
              <w:t xml:space="preserve">NOMBRE/REFERENCIA DEL CONTRATO </w:t>
            </w:r>
          </w:p>
        </w:tc>
        <w:tc>
          <w:tcPr>
            <w:tcW w:w="6735"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rPr>
            </w:pPr>
            <w:r>
              <w:rPr>
                <w:rFonts w:eastAsia="Arial Narrow" w:cs="Arial Narrow" w:ascii="Arial Narrow" w:hAnsi="Arial Narrow"/>
                <w:sz w:val="18"/>
                <w:szCs w:val="18"/>
              </w:rPr>
            </w:r>
          </w:p>
        </w:tc>
      </w:tr>
      <w:tr>
        <w:trPr>
          <w:trHeight w:val="405" w:hRule="atLeast"/>
        </w:trPr>
        <w:tc>
          <w:tcPr>
            <w:tcW w:w="3059"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rFonts w:ascii="Arial Narrow" w:hAnsi="Arial Narrow" w:eastAsia="Arial Narrow" w:cs="Arial Narrow"/>
                <w:sz w:val="18"/>
                <w:szCs w:val="18"/>
              </w:rPr>
            </w:pPr>
            <w:r>
              <w:rPr>
                <w:rFonts w:eastAsia="Arial Narrow" w:cs="Arial Narrow" w:ascii="Arial Narrow" w:hAnsi="Arial Narrow"/>
                <w:sz w:val="18"/>
                <w:szCs w:val="18"/>
              </w:rPr>
              <w:t xml:space="preserve">DESCRIPCIÓN BREVE DE LA INCIDENCIA   </w:t>
            </w:r>
          </w:p>
        </w:tc>
        <w:tc>
          <w:tcPr>
            <w:tcW w:w="6735"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rPr>
            </w:pPr>
            <w:r>
              <w:rPr>
                <w:rFonts w:eastAsia="Arial Narrow" w:cs="Arial Narrow" w:ascii="Arial Narrow" w:hAnsi="Arial Narrow"/>
                <w:sz w:val="18"/>
                <w:szCs w:val="18"/>
              </w:rPr>
            </w:r>
          </w:p>
        </w:tc>
      </w:tr>
      <w:tr>
        <w:trPr/>
        <w:tc>
          <w:tcPr>
            <w:tcW w:w="3059"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rFonts w:ascii="Arial Narrow" w:hAnsi="Arial Narrow" w:eastAsia="Arial Narrow" w:cs="Arial Narrow"/>
                <w:sz w:val="18"/>
                <w:szCs w:val="18"/>
              </w:rPr>
            </w:pPr>
            <w:r>
              <w:rPr>
                <w:rFonts w:eastAsia="Arial Narrow" w:cs="Arial Narrow" w:ascii="Arial Narrow" w:hAnsi="Arial Narrow"/>
                <w:sz w:val="18"/>
                <w:szCs w:val="18"/>
              </w:rPr>
              <w:t xml:space="preserve">FECHA DE DETECCIÓN </w:t>
            </w:r>
          </w:p>
        </w:tc>
        <w:tc>
          <w:tcPr>
            <w:tcW w:w="6735"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rPr>
            </w:pPr>
            <w:r>
              <w:rPr>
                <w:rFonts w:eastAsia="Arial Narrow" w:cs="Arial Narrow" w:ascii="Arial Narrow" w:hAnsi="Arial Narrow"/>
                <w:sz w:val="18"/>
                <w:szCs w:val="18"/>
              </w:rPr>
            </w:r>
          </w:p>
        </w:tc>
      </w:tr>
      <w:tr>
        <w:trPr/>
        <w:tc>
          <w:tcPr>
            <w:tcW w:w="3059"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rFonts w:ascii="Arial Narrow" w:hAnsi="Arial Narrow" w:eastAsia="Arial Narrow" w:cs="Arial Narrow"/>
                <w:sz w:val="18"/>
                <w:szCs w:val="18"/>
              </w:rPr>
            </w:pPr>
            <w:r>
              <w:rPr>
                <w:rFonts w:eastAsia="Arial Narrow" w:cs="Arial Narrow" w:ascii="Arial Narrow" w:hAnsi="Arial Narrow"/>
                <w:sz w:val="18"/>
                <w:szCs w:val="18"/>
              </w:rPr>
              <w:t>MEDIO POR EL QUE SE HA TENIDO CONSTANCIA DEL INCIDENTE</w:t>
            </w:r>
          </w:p>
        </w:tc>
        <w:tc>
          <w:tcPr>
            <w:tcW w:w="6735"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rPr>
            </w:pPr>
            <w:r>
              <w:rPr>
                <w:rFonts w:eastAsia="Arial Narrow" w:cs="Arial Narrow" w:ascii="Arial Narrow" w:hAnsi="Arial Narrow"/>
                <w:sz w:val="18"/>
                <w:szCs w:val="18"/>
              </w:rPr>
              <w:t xml:space="preserve"> </w:t>
            </w:r>
          </w:p>
        </w:tc>
      </w:tr>
      <w:tr>
        <w:trPr/>
        <w:tc>
          <w:tcPr>
            <w:tcW w:w="3059"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rFonts w:ascii="Arial Narrow" w:hAnsi="Arial Narrow" w:eastAsia="Arial Narrow" w:cs="Arial Narrow"/>
                <w:sz w:val="18"/>
                <w:szCs w:val="18"/>
              </w:rPr>
            </w:pPr>
            <w:r>
              <w:rPr>
                <w:rFonts w:eastAsia="Arial Narrow" w:cs="Arial Narrow" w:ascii="Arial Narrow" w:hAnsi="Arial Narrow"/>
                <w:sz w:val="18"/>
                <w:szCs w:val="18"/>
              </w:rPr>
              <w:t>FECHA DEL INFORME</w:t>
            </w:r>
          </w:p>
        </w:tc>
        <w:tc>
          <w:tcPr>
            <w:tcW w:w="6735"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rPr>
            </w:pPr>
            <w:r>
              <w:rPr>
                <w:rFonts w:eastAsia="Arial Narrow" w:cs="Arial Narrow" w:ascii="Arial Narrow" w:hAnsi="Arial Narrow"/>
                <w:sz w:val="18"/>
                <w:szCs w:val="18"/>
              </w:rPr>
              <w:t xml:space="preserve"> </w:t>
            </w:r>
          </w:p>
        </w:tc>
      </w:tr>
      <w:tr>
        <w:trPr/>
        <w:tc>
          <w:tcPr>
            <w:tcW w:w="3059"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rFonts w:ascii="Arial Narrow" w:hAnsi="Arial Narrow" w:eastAsia="Arial Narrow" w:cs="Arial Narrow"/>
                <w:sz w:val="18"/>
                <w:szCs w:val="18"/>
              </w:rPr>
            </w:pPr>
            <w:r>
              <w:rPr>
                <w:rFonts w:eastAsia="Arial Narrow" w:cs="Arial Narrow" w:ascii="Arial Narrow" w:hAnsi="Arial Narrow"/>
                <w:sz w:val="18"/>
                <w:szCs w:val="18"/>
              </w:rPr>
              <w:t xml:space="preserve">FECHA DE ENVÍO DEL INFORME </w:t>
            </w:r>
          </w:p>
        </w:tc>
        <w:tc>
          <w:tcPr>
            <w:tcW w:w="6735"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rPr>
            </w:pPr>
            <w:r>
              <w:rPr>
                <w:rFonts w:eastAsia="Arial Narrow" w:cs="Arial Narrow" w:ascii="Arial Narrow" w:hAnsi="Arial Narrow"/>
                <w:sz w:val="18"/>
                <w:szCs w:val="18"/>
              </w:rPr>
              <w:t xml:space="preserve"> </w:t>
            </w:r>
          </w:p>
        </w:tc>
      </w:tr>
    </w:tbl>
    <w:p>
      <w:pPr>
        <w:pStyle w:val="Normal1"/>
        <w:widowControl/>
        <w:ind w:hanging="0" w:left="496" w:right="-227"/>
        <w:jc w:val="center"/>
        <w:rPr>
          <w:rFonts w:ascii="Arial Narrow" w:hAnsi="Arial Narrow" w:eastAsia="Arial Narrow" w:cs="Arial Narrow"/>
          <w:sz w:val="18"/>
          <w:szCs w:val="18"/>
        </w:rPr>
      </w:pPr>
      <w:r>
        <w:rPr>
          <w:rFonts w:eastAsia="Arial Narrow" w:cs="Arial Narrow" w:ascii="Arial Narrow" w:hAnsi="Arial Narrow"/>
          <w:sz w:val="18"/>
          <w:szCs w:val="18"/>
        </w:rPr>
      </w:r>
    </w:p>
    <w:tbl>
      <w:tblPr>
        <w:tblStyle w:val="Table19"/>
        <w:tblW w:w="9825" w:type="dxa"/>
        <w:jc w:val="left"/>
        <w:tblInd w:w="-283" w:type="dxa"/>
        <w:tblLayout w:type="fixed"/>
        <w:tblCellMar>
          <w:top w:w="0" w:type="dxa"/>
          <w:left w:w="108" w:type="dxa"/>
          <w:bottom w:w="0" w:type="dxa"/>
          <w:right w:w="108" w:type="dxa"/>
        </w:tblCellMar>
        <w:tblLook w:val="0400"/>
      </w:tblPr>
      <w:tblGrid>
        <w:gridCol w:w="3135"/>
        <w:gridCol w:w="6689"/>
      </w:tblGrid>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sdt>
            <w:sdtPr>
              <w:id w:val="1622227614"/>
              <w:tag w:val="goog_rdk_7"/>
              <w:lock w:val="contentLocked"/>
            </w:sdtPr>
            <w:sdtContent>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Descripción del incidente y detalle de las investigaciones efectuadas:</w:t>
                </w:r>
              </w:p>
            </w:sdtContent>
          </w:sdt>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43" w:left="284"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w:t>
            </w:r>
            <w:r>
              <w:rPr>
                <w:rFonts w:eastAsia="Arial Narrow" w:cs="Arial Narrow" w:ascii="Arial Narrow" w:hAnsi="Arial Narrow"/>
                <w:sz w:val="18"/>
                <w:szCs w:val="18"/>
              </w:rPr>
              <w:t xml:space="preserve">Descripción de los hechos comprobados: </w:t>
            </w:r>
          </w:p>
        </w:tc>
      </w:tr>
      <w:tr>
        <w:trPr>
          <w:trHeight w:val="540" w:hRule="atLeast"/>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Categorías de afectados y número aproximado de registros comprometidos</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Categorías de afectados:</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Clientes</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Posibles clientes</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Empleados</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Personas de contacto/representantes/firmantes de contratos</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Usuarios de páginas web</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 Otros (detallar) - </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Número de registros comprometidos []   Personas afectadas y entidad Responsable. []</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Datos de carácter personal comprometidos:</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Datos identificativos: nombre y apellidos</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Cuenta bancaria (pseudononimizada)</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DNI</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Dirección postal</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Correo electrónico.</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Currículum Vitae.</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Claves de usuario/contraseñas</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 Otros ( especificar)  </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 xml:space="preserve">Tipo de brecha de seguridad </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Brecha de confidencialidad: partes que no están autorizadas, o no tienen un propósito legítimo para acceder a la información, acceden a ella. Informar:</w:t>
            </w:r>
          </w:p>
          <w:p>
            <w:pPr>
              <w:pStyle w:val="Normal1"/>
              <w:widowControl/>
              <w:numPr>
                <w:ilvl w:val="0"/>
                <w:numId w:val="18"/>
              </w:numPr>
              <w:ind w:hanging="150" w:left="141" w:right="230"/>
              <w:rPr>
                <w:rFonts w:ascii="Arial Narrow" w:hAnsi="Arial Narrow" w:eastAsia="Arial Narrow" w:cs="Arial Narrow"/>
                <w:sz w:val="18"/>
                <w:szCs w:val="18"/>
              </w:rPr>
            </w:pPr>
            <w:r>
              <w:rPr>
                <w:rFonts w:eastAsia="Arial Narrow" w:cs="Arial Narrow" w:ascii="Arial Narrow" w:hAnsi="Arial Narrow"/>
                <w:sz w:val="18"/>
                <w:szCs w:val="18"/>
              </w:rPr>
              <w:t xml:space="preserve">Identidad de afectados (nombre o identificador de referencia). </w:t>
            </w:r>
          </w:p>
          <w:p>
            <w:pPr>
              <w:pStyle w:val="Normal1"/>
              <w:widowControl/>
              <w:numPr>
                <w:ilvl w:val="0"/>
                <w:numId w:val="18"/>
              </w:numPr>
              <w:ind w:hanging="150" w:left="141" w:right="230"/>
              <w:rPr>
                <w:rFonts w:ascii="Arial Narrow" w:hAnsi="Arial Narrow" w:eastAsia="Arial Narrow" w:cs="Arial Narrow"/>
                <w:sz w:val="18"/>
                <w:szCs w:val="18"/>
              </w:rPr>
            </w:pPr>
            <w:r>
              <w:rPr>
                <w:rFonts w:eastAsia="Arial Narrow" w:cs="Arial Narrow" w:ascii="Arial Narrow" w:hAnsi="Arial Narrow"/>
                <w:sz w:val="18"/>
                <w:szCs w:val="18"/>
              </w:rPr>
              <w:t xml:space="preserve">Alcance de la divulgación: número potencial y tipo de partes que pueden haber accedido ilegalmente a la información. Identificar a receptores. </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 Brecha de integridad: se altera la información original y la sustitución de datos puede ser perjudicial para el individuo. </w:t>
            </w:r>
          </w:p>
          <w:p>
            <w:pPr>
              <w:pStyle w:val="Normal1"/>
              <w:widowControl/>
              <w:numPr>
                <w:ilvl w:val="0"/>
                <w:numId w:val="18"/>
              </w:numPr>
              <w:ind w:hanging="150" w:left="141" w:right="230"/>
              <w:rPr>
                <w:rFonts w:ascii="Arial Narrow" w:hAnsi="Arial Narrow" w:eastAsia="Arial Narrow" w:cs="Arial Narrow"/>
                <w:sz w:val="18"/>
                <w:szCs w:val="18"/>
              </w:rPr>
            </w:pPr>
            <w:r>
              <w:rPr>
                <w:rFonts w:eastAsia="Arial Narrow" w:cs="Arial Narrow" w:ascii="Arial Narrow" w:hAnsi="Arial Narrow"/>
                <w:sz w:val="18"/>
                <w:szCs w:val="18"/>
              </w:rPr>
              <w:t xml:space="preserve">Identidad de afectados (nombre o identificador de referencia). </w:t>
            </w:r>
          </w:p>
          <w:p>
            <w:pPr>
              <w:pStyle w:val="Normal1"/>
              <w:widowControl/>
              <w:numPr>
                <w:ilvl w:val="0"/>
                <w:numId w:val="18"/>
              </w:numPr>
              <w:ind w:hanging="150" w:left="141" w:right="230"/>
              <w:rPr>
                <w:rFonts w:ascii="Arial Narrow" w:hAnsi="Arial Narrow" w:eastAsia="Arial Narrow" w:cs="Arial Narrow"/>
                <w:sz w:val="18"/>
                <w:szCs w:val="18"/>
              </w:rPr>
            </w:pPr>
            <w:r>
              <w:rPr>
                <w:rFonts w:eastAsia="Arial Narrow" w:cs="Arial Narrow" w:ascii="Arial Narrow" w:hAnsi="Arial Narrow"/>
                <w:sz w:val="18"/>
                <w:szCs w:val="18"/>
              </w:rPr>
              <w:t>Datos comprometidos a los que afecta la alteración.</w:t>
            </w:r>
          </w:p>
          <w:p>
            <w:pPr>
              <w:pStyle w:val="Normal1"/>
              <w:widowControl/>
              <w:numPr>
                <w:ilvl w:val="0"/>
                <w:numId w:val="18"/>
              </w:numPr>
              <w:ind w:hanging="150" w:left="141" w:right="230"/>
              <w:rPr>
                <w:rFonts w:ascii="Arial Narrow" w:hAnsi="Arial Narrow" w:eastAsia="Arial Narrow" w:cs="Arial Narrow"/>
                <w:sz w:val="18"/>
                <w:szCs w:val="18"/>
              </w:rPr>
            </w:pPr>
            <w:r>
              <w:rPr>
                <w:rFonts w:eastAsia="Arial Narrow" w:cs="Arial Narrow" w:ascii="Arial Narrow" w:hAnsi="Arial Narrow"/>
                <w:sz w:val="18"/>
                <w:szCs w:val="18"/>
              </w:rPr>
              <w:t>Identificar en qué consiste la alteración.</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w:t>
            </w:r>
            <w:r>
              <w:rPr>
                <w:rFonts w:eastAsia="Arial Narrow" w:cs="Arial Narrow" w:ascii="Arial Narrow" w:hAnsi="Arial Narrow"/>
                <w:sz w:val="18"/>
                <w:szCs w:val="18"/>
              </w:rPr>
              <w:t xml:space="preserve">[ ] Brecha de disponibilidad: no se puede acceder a los datos originales cuando es necesario. </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Temporal (los datos son recuperables, pero tomará un periodo de tiempo y esto puede ser perjudicial para el individuo).</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 Permanente (los datos no pueden recuperarse).  </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Comentarios: </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Trazabilidad de accesos y uso de datos comprometidos</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right="230"/>
              <w:jc w:val="both"/>
              <w:rPr>
                <w:rFonts w:ascii="Arial Narrow" w:hAnsi="Arial Narrow" w:eastAsia="Arial Narrow" w:cs="Arial Narrow"/>
                <w:sz w:val="18"/>
                <w:szCs w:val="18"/>
              </w:rPr>
            </w:pPr>
            <w:r>
              <w:rPr>
                <w:rFonts w:eastAsia="Arial Narrow" w:cs="Arial Narrow" w:ascii="Arial Narrow" w:hAnsi="Arial Narrow"/>
                <w:sz w:val="18"/>
                <w:szCs w:val="18"/>
              </w:rPr>
              <w:t>Sistemas afectados, y si lo permiten, informar sobre los accesos a datos comprometidos.</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Medidas adoptadas para contener la incidencia, minimizar riesgos y para evitar nuevas incidencias:</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43" w:left="284"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 xml:space="preserve"> </w:t>
            </w:r>
            <w:r>
              <w:rPr>
                <w:rFonts w:eastAsia="Arial Narrow" w:cs="Arial Narrow" w:ascii="Arial Narrow" w:hAnsi="Arial Narrow"/>
                <w:sz w:val="18"/>
                <w:szCs w:val="18"/>
              </w:rPr>
              <w:t>Clasificación del incidente de seguridad</w:t>
            </w:r>
          </w:p>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 xml:space="preserve"> </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43" w:left="284" w:right="230"/>
              <w:jc w:val="both"/>
              <w:rPr>
                <w:rFonts w:ascii="Arial Narrow" w:hAnsi="Arial Narrow" w:eastAsia="Arial Narrow" w:cs="Arial Narrow"/>
                <w:sz w:val="18"/>
                <w:szCs w:val="18"/>
              </w:rPr>
            </w:pPr>
            <w:r>
              <w:rPr>
                <w:rFonts w:eastAsia="Arial Narrow" w:cs="Arial Narrow" w:ascii="Arial Narrow" w:hAnsi="Arial Narrow"/>
                <w:sz w:val="18"/>
                <w:szCs w:val="18"/>
              </w:rPr>
              <w:t>[ ] La Brecha de Seguridad se ha originado por una falta de medidas de seguridad técnicas implementadas en la compañía.</w:t>
            </w:r>
          </w:p>
          <w:p>
            <w:pPr>
              <w:pStyle w:val="Normal1"/>
              <w:widowControl/>
              <w:ind w:hanging="143" w:left="284" w:right="230"/>
              <w:jc w:val="both"/>
              <w:rPr>
                <w:rFonts w:ascii="Arial Narrow" w:hAnsi="Arial Narrow" w:eastAsia="Arial Narrow" w:cs="Arial Narrow"/>
                <w:sz w:val="18"/>
                <w:szCs w:val="18"/>
              </w:rPr>
            </w:pPr>
            <w:r>
              <w:rPr>
                <w:rFonts w:eastAsia="Arial Narrow" w:cs="Arial Narrow" w:ascii="Arial Narrow" w:hAnsi="Arial Narrow"/>
                <w:sz w:val="18"/>
                <w:szCs w:val="18"/>
              </w:rPr>
              <w:t>[ ] La Brecha de Seguridad ha sido provocada por un ataque de un tercero.</w:t>
            </w:r>
          </w:p>
          <w:p>
            <w:pPr>
              <w:pStyle w:val="Normal1"/>
              <w:widowControl/>
              <w:ind w:hanging="143" w:left="284" w:right="230"/>
              <w:jc w:val="both"/>
              <w:rPr>
                <w:rFonts w:ascii="Arial Narrow" w:hAnsi="Arial Narrow" w:eastAsia="Arial Narrow" w:cs="Arial Narrow"/>
                <w:sz w:val="18"/>
                <w:szCs w:val="18"/>
              </w:rPr>
            </w:pPr>
            <w:r>
              <w:rPr>
                <w:rFonts w:eastAsia="Arial Narrow" w:cs="Arial Narrow" w:ascii="Arial Narrow" w:hAnsi="Arial Narrow"/>
                <w:sz w:val="18"/>
                <w:szCs w:val="18"/>
              </w:rPr>
              <w:t>[ ] La Brecha de seguridad se ha originado por un error humano.</w:t>
            </w:r>
          </w:p>
          <w:p>
            <w:pPr>
              <w:pStyle w:val="Normal1"/>
              <w:widowControl/>
              <w:ind w:hanging="143" w:left="284" w:right="230"/>
              <w:jc w:val="both"/>
              <w:rPr>
                <w:rFonts w:ascii="Arial Narrow" w:hAnsi="Arial Narrow" w:eastAsia="Arial Narrow" w:cs="Arial Narrow"/>
                <w:sz w:val="18"/>
                <w:szCs w:val="18"/>
              </w:rPr>
            </w:pPr>
            <w:r>
              <w:rPr>
                <w:rFonts w:eastAsia="Arial Narrow" w:cs="Arial Narrow" w:ascii="Arial Narrow" w:hAnsi="Arial Narrow"/>
                <w:sz w:val="18"/>
                <w:szCs w:val="18"/>
              </w:rPr>
              <w:t>[ ] Otro: especificar</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 xml:space="preserve"> </w:t>
            </w:r>
            <w:r>
              <w:rPr>
                <w:rFonts w:eastAsia="Arial Narrow" w:cs="Arial Narrow" w:ascii="Arial Narrow" w:hAnsi="Arial Narrow"/>
                <w:sz w:val="18"/>
                <w:szCs w:val="18"/>
              </w:rPr>
              <w:t xml:space="preserve">Información adicional </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43" w:left="284" w:right="-227"/>
              <w:rPr>
                <w:rFonts w:ascii="Arial Narrow" w:hAnsi="Arial Narrow" w:eastAsia="Arial Narrow" w:cs="Arial Narrow"/>
                <w:sz w:val="18"/>
                <w:szCs w:val="18"/>
              </w:rPr>
            </w:pPr>
            <w:r>
              <w:rPr>
                <w:rFonts w:eastAsia="Arial Narrow" w:cs="Arial Narrow" w:ascii="Arial Narrow" w:hAnsi="Arial Narrow"/>
                <w:sz w:val="18"/>
                <w:szCs w:val="18"/>
              </w:rPr>
              <w:t xml:space="preserve"> </w:t>
            </w:r>
          </w:p>
        </w:tc>
      </w:tr>
    </w:tbl>
    <w:p>
      <w:pPr>
        <w:pStyle w:val="Normal1"/>
        <w:widowControl/>
        <w:spacing w:lineRule="auto" w:line="276"/>
        <w:rPr/>
      </w:pPr>
      <w:r>
        <w:rPr/>
      </w:r>
    </w:p>
    <w:sectPr>
      <w:headerReference w:type="default" r:id="rId2"/>
      <w:headerReference w:type="first" r:id="rId3"/>
      <w:footerReference w:type="default" r:id="rId4"/>
      <w:footerReference w:type="first" r:id="rId5"/>
      <w:footnotePr>
        <w:numFmt w:val="decimal"/>
      </w:footnotePr>
      <w:type w:val="nextPage"/>
      <w:pgSz w:w="11906" w:h="16838"/>
      <w:pgMar w:left="1700" w:right="1701" w:gutter="0" w:header="709" w:top="1843" w:footer="709" w:bottom="1418"/>
      <w:pgNumType w:start="0"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Book Antiqua">
    <w:charset w:val="00"/>
    <w:family w:val="roman"/>
    <w:pitch w:val="variable"/>
    <w:embedRegular r:id="rId14" w:fontKey="{0E014A78-CABC-4EF0-12AC-5CD89AEFDE0E}"/>
    <w:embedBold r:id="rId15" w:fontKey="{0F014A78-CABC-4EF0-12AC-5CD89AEFDE0F}"/>
    <w:embedItalic r:id="rId16" w:fontKey="{10014A78-CABC-4EF0-12AC-5CD89AEFDE10}"/>
    <w:embedBoldItalic r:id="rId17" w:fontKey="{11014A78-CABC-4EF0-12AC-5CD89AEFDE11}"/>
  </w:font>
  <w:font w:name="Calibri">
    <w:charset w:val="00"/>
    <w:family w:val="roman"/>
    <w:pitch w:val="variable"/>
    <w:embedRegular r:id="rId18" w:fontKey="{12014A78-CABC-4EF0-12AC-5CD89AEFDE12}"/>
  </w:font>
  <w:font w:name="Calibri Light">
    <w:charset w:val="00"/>
    <w:family w:val="roman"/>
    <w:pitch w:val="variable"/>
    <w:embedRegular r:id="rId19" w:fontKey="{13014A78-CABC-4EF0-12AC-5CD89AEFDE13}"/>
  </w:font>
  <w:font w:name="Arial">
    <w:charset w:val="00"/>
    <w:family w:val="roman"/>
    <w:pitch w:val="variable"/>
  </w:font>
  <w:font w:name="Tahoma">
    <w:charset w:val="00"/>
    <w:family w:val="roman"/>
    <w:pitch w:val="variable"/>
    <w:embedRegular r:id="rId20" w:fontKey="{14014A78-CABC-4EF0-12AC-5CD89AEFDE14}"/>
  </w:font>
  <w:font w:name="Arial Narrow">
    <w:charset w:val="00"/>
    <w:family w:val="roman"/>
    <w:pitch w:val="variable"/>
    <w:embedRegular r:id="rId21" w:fontKey="{15014A78-CABC-4EF0-12AC-5CD89AEFDE15}"/>
  </w:font>
  <w:font w:name="Segoe UI">
    <w:charset w:val="00"/>
    <w:family w:val="roman"/>
    <w:pitch w:val="variable"/>
    <w:embedRegular r:id="rId22" w:fontKey="{16014A78-CABC-4EF0-12AC-5CD89AEFDE16}"/>
  </w:font>
  <w:font w:name="Courier New">
    <w:charset w:val="00"/>
    <w:family w:val="roman"/>
    <w:pitch w:val="variable"/>
    <w:embedRegular r:id="rId23" w:fontKey="{17014A78-CABC-4EF0-12AC-5CD89AEFDE17}"/>
  </w:font>
  <w:font w:name="Gill Sans">
    <w:charset w:val="00"/>
    <w:family w:val="roman"/>
    <w:pitch w:val="variable"/>
  </w:font>
  <w:font w:name="Liberation Sans">
    <w:altName w:val="Arial"/>
    <w:charset w:val="00"/>
    <w:family w:val="swiss"/>
    <w:pitch w:val="variable"/>
    <w:embedRegular r:id="rId24" w:fontKey="{18014A78-CABC-4EF0-12AC-5CD89AEFDE18}"/>
    <w:embedBold r:id="rId25" w:fontKey="{19014A78-CABC-4EF0-12AC-5CD89AEFDE19}"/>
    <w:embedItalic r:id="rId26" w:fontKey="{1A014A78-CABC-4EF0-12AC-5CD89AEFDE1A}"/>
    <w:embedBoldItalic r:id="rId27" w:fontKey="{1B014A78-CABC-4EF0-12AC-5CD89AEFDE1B}"/>
  </w:font>
  <w:font w:name="Calibri Light">
    <w:charset w:val="00"/>
    <w:family w:val="swiss"/>
    <w:pitch w:val="variable"/>
  </w:font>
  <w:font w:name="Verdana">
    <w:charset w:val="00"/>
    <w:family w:val="roman"/>
    <w:pitch w:val="variable"/>
    <w:embedRegular r:id="rId28" w:fontKey="{1C014A78-CABC-4EF0-12AC-5CD89AEFDE1C}"/>
  </w:font>
  <w:font w:name="Baskerville MT">
    <w:charset w:val="00"/>
    <w:family w:val="roman"/>
    <w:pitch w:val="variable"/>
  </w:font>
  <w:font w:name="BdE Neue Helvetica 45 Light">
    <w:charset w:val="00"/>
    <w:family w:val="roman"/>
    <w:pitch w:val="variable"/>
  </w:font>
  <w:font w:name="Roboto Light">
    <w:charset w:val="00"/>
    <w:family w:val="roman"/>
    <w:pitch w:val="variable"/>
    <w:embedRegular r:id="rId29" w:fontKey="{1D014A78-CABC-4EF0-12AC-5CD89AEFDE1D}"/>
  </w:font>
  <w:font w:name="OpenSymbol">
    <w:altName w:val="Arial Unicode MS"/>
    <w:charset w:val="01"/>
    <w:family w:val="auto"/>
    <w:pitch w:val="default"/>
    <w:embedRegular r:id="rId30" w:fontKey="{1E014A78-CABC-4EF0-12AC-5CD89AEFDE1E}"/>
    <w:embedBold r:id="rId31" w:fontKey="{1F014A78-CABC-4EF0-12AC-5CD89AEFDE1F}"/>
  </w:font>
  <w:font w:name="OpenSymbol">
    <w:altName w:val="Arial Unicode MS"/>
    <w:charset w:val="02"/>
    <w:family w:val="auto"/>
    <w:pitch w:val="default"/>
    <w:embedRegular r:id="rId30" w:fontKey="{1E014A78-CABC-4EF0-12AC-5CD89AEFDE1E}"/>
  </w:font>
  <w:font w:name="Noto Sans Symbols">
    <w:charset w:val="01"/>
    <w:family w:val="swiss"/>
    <w:pitch w:val="default"/>
    <w:embedRegular r:id="rId32" w:fontKey="{20014A78-CABC-4EF0-12AC-5CD89AEFDE20}"/>
    <w:embedBold r:id="rId33" w:fontKey="{21014A78-CABC-4EF0-12AC-5CD89AEFDE21}"/>
    <w:embedItalic r:id="rId34" w:fontKey="{22014A78-CABC-4EF0-12AC-5CD89AEFDE22}"/>
  </w:font>
  <w:font w:name="Courier New">
    <w:charset w:val="01"/>
    <w:family w:val="modern"/>
    <w:pitch w:val="fixed"/>
    <w:embedRegular r:id="rId35" w:fontKey="{23014A78-CABC-4EF0-12AC-5CD89AEFDE23}"/>
    <w:embedBold r:id="rId36" w:fontKey="{24014A78-CABC-4EF0-12AC-5CD89AEFDE24}"/>
    <w:embedItalic r:id="rId37" w:fontKey="{25014A78-CABC-4EF0-12AC-5CD89AEFDE25}"/>
    <w:embedBoldItalic r:id="rId23" w:fontKey="{17014A78-CABC-4EF0-12AC-5CD89AEFDE17}"/>
  </w:font>
  <w:font w:name="Calibri">
    <w:charset w:val="01"/>
    <w:family w:val="swiss"/>
    <w:pitch w:val="variable"/>
    <w:embedRegular r:id="rId38" w:fontKey="{26014A78-CABC-4EF0-12AC-5CD89AEFDE26}"/>
    <w:embedBold r:id="rId39" w:fontKey="{27014A78-CABC-4EF0-12AC-5CD89AEFDE27}"/>
    <w:embedItalic r:id="rId40" w:fontKey="{28014A78-CABC-4EF0-12AC-5CD89AEFDE28}"/>
    <w:embedBoldItalic r:id="rId18" w:fontKey="{12014A78-CABC-4EF0-12AC-5CD89AEFDE12}"/>
  </w:font>
  <w:font w:name="Arial Narrow">
    <w:charset w:val="01"/>
    <w:family w:val="swiss"/>
    <w:pitch w:val="variable"/>
    <w:embedRegular r:id="rId41" w:fontKey="{29014A78-CABC-4EF0-12AC-5CD89AEFDE29}"/>
    <w:embedBold r:id="rId42" w:fontKey="{2A014A78-CABC-4EF0-12AC-5CD89AEFDE2A}"/>
    <w:embedItalic r:id="rId43" w:fontKey="{2B014A78-CABC-4EF0-12AC-5CD89AEFDE2B}"/>
    <w:embedBoldItalic r:id="rId21" w:fontKey="{15014A78-CABC-4EF0-12AC-5CD89AEFDE15}"/>
  </w:font>
  <w:font w:name="Wingdings">
    <w:charset w:val="02"/>
    <w:family w:val="auto"/>
    <w:pitch w:val="default"/>
    <w:embedRegular r:id="rId44" w:fontKey="{2C014A78-CABC-4EF0-12AC-5CD89AEFDE2C}"/>
    <w:embedBold r:id="rId45" w:fontKey="{2D014A78-CABC-4EF0-12AC-5CD89AEFDE2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val="false"/>
      <w:pBdr/>
      <w:shd w:val="clear" w:fill="auto"/>
      <w:tabs>
        <w:tab w:val="clear" w:pos="720"/>
        <w:tab w:val="center" w:pos="4252" w:leader="none"/>
        <w:tab w:val="right" w:pos="8504" w:leader="none"/>
      </w:tabs>
      <w:spacing w:lineRule="auto" w:line="240" w:before="0" w:after="0"/>
      <w:ind w:hanging="0" w:left="0" w:right="0"/>
      <w:jc w:val="center"/>
      <w:rPr>
        <w:rFonts w:ascii="Arial Narrow" w:hAnsi="Arial Narrow" w:eastAsia="Arial Narrow" w:cs="Arial Narrow"/>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tabs>
        <w:tab w:val="clear" w:pos="720"/>
        <w:tab w:val="center" w:pos="4252" w:leader="none"/>
        <w:tab w:val="right" w:pos="8504" w:leader="none"/>
      </w:tabs>
      <w:spacing w:lineRule="auto" w:line="276"/>
      <w:jc w:val="center"/>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false"/>
      <w:keepLines w:val="false"/>
      <w:widowControl w:val="false"/>
      <w:pBdr/>
      <w:shd w:val="clear" w:fill="auto"/>
      <w:tabs>
        <w:tab w:val="clear" w:pos="720"/>
        <w:tab w:val="center" w:pos="4252" w:leader="none"/>
        <w:tab w:val="right" w:pos="8504" w:leader="none"/>
      </w:tabs>
      <w:spacing w:lineRule="auto" w:line="240" w:before="0" w:after="0"/>
      <w:ind w:hanging="0" w:left="0" w:right="0"/>
      <w:jc w:val="left"/>
      <w:rPr/>
    </w:pPr>
    <w:r>
      <w:rPr/>
    </w:r>
  </w:p>
  <w:p>
    <w:pPr>
      <w:pStyle w:val="Normal1"/>
      <w:keepNext w:val="false"/>
      <w:keepLines w:val="false"/>
      <w:widowControl w:val="false"/>
      <w:pBdr/>
      <w:shd w:val="clear" w:fill="auto"/>
      <w:tabs>
        <w:tab w:val="clear" w:pos="720"/>
        <w:tab w:val="center" w:pos="4252" w:leader="none"/>
        <w:tab w:val="right" w:pos="8504" w:leader="none"/>
      </w:tabs>
      <w:spacing w:lineRule="auto" w:line="240" w:before="0" w:after="0"/>
      <w:ind w:hanging="0" w:left="0" w:right="0"/>
      <w:jc w:val="right"/>
      <w:rPr>
        <w:highlight w:val="none"/>
        <w:shd w:fill="FFFFFF" w:val="clear"/>
      </w:rPr>
    </w:pPr>
    <w:r>
      <w:rPr>
        <w:shd w:fill="FFFFFF" w:val="clear"/>
      </w:rPr>
      <w:fldChar w:fldCharType="begin"/>
    </w:r>
    <w:r>
      <w:rPr>
        <w:shd w:fill="FFFFFF" w:val="clear"/>
      </w:rPr>
      <w:instrText xml:space="preserve"> PAGE </w:instrText>
    </w:r>
    <w:r>
      <w:rPr>
        <w:shd w:fill="FFFFFF" w:val="clear"/>
      </w:rPr>
      <w:fldChar w:fldCharType="separate"/>
    </w:r>
    <w:r>
      <w:rPr>
        <w:shd w:fill="FFFFFF" w:val="clear"/>
      </w:rPr>
      <w:t>29</w:t>
    </w:r>
    <w:r>
      <w:rPr>
        <w:shd w:fill="FFFFFF" w:val="clea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p>
  </w:footnote>
  <w:footnote w:id="1" w:type="continuationSeparator">
    <w:p>
      <w:pPr>
        <w:rPr>
          <w:sz w:val="12"/>
        </w:rPr>
      </w:pPr>
      <w:r/>
    </w:p>
  </w:footnote>
  <w:footnote w:id="2">
    <w:p>
      <w:pPr>
        <w:pStyle w:val="Normal1"/>
        <w:widowControl/>
        <w:jc w:val="both"/>
        <w:rPr>
          <w:rFonts w:ascii="Calibri" w:hAnsi="Calibri" w:eastAsia="Calibri" w:cs="Calibri"/>
          <w:sz w:val="20"/>
          <w:szCs w:val="20"/>
        </w:rPr>
      </w:pPr>
      <w:r>
        <w:rPr>
          <w:rStyle w:val="Caracteresdenotaalpie"/>
        </w:rPr>
        <w:footnoteRef/>
      </w:r>
      <w:r>
        <w:rPr>
          <w:rFonts w:eastAsia="Calibri" w:cs="Calibri" w:ascii="Calibri" w:hAnsi="Calibri"/>
          <w:sz w:val="20"/>
          <w:szCs w:val="20"/>
        </w:rPr>
        <w:t xml:space="preserve"> </w:t>
      </w:r>
      <w:r>
        <w:rPr>
          <w:rFonts w:eastAsia="Calibri" w:cs="Calibri" w:ascii="Calibri" w:hAnsi="Calibri"/>
          <w:sz w:val="20"/>
          <w:szCs w:val="20"/>
        </w:rPr>
        <w:t>Nota: El acceso remoto desde un tercer país (por ejemplo, en el caso de la prestación de servicios de asistencia técnica) y/o el alojamiento en un proveedor de servicios en la nube situado fuera del EEE también constituye una transferencia.</w:t>
      </w:r>
    </w:p>
  </w:footnote>
  <w:footnote w:id="3">
    <w:p>
      <w:pPr>
        <w:pStyle w:val="Normal1"/>
        <w:widowControl/>
        <w:jc w:val="both"/>
        <w:rPr>
          <w:rFonts w:ascii="Calibri" w:hAnsi="Calibri" w:eastAsia="Calibri" w:cs="Calibri"/>
          <w:sz w:val="20"/>
          <w:szCs w:val="20"/>
        </w:rPr>
      </w:pPr>
      <w:r>
        <w:rPr>
          <w:rStyle w:val="Caracteresdenotaalpie"/>
        </w:rPr>
        <w:footnoteRef/>
      </w:r>
      <w:r>
        <w:rPr>
          <w:rFonts w:eastAsia="Calibri" w:cs="Calibri" w:ascii="Calibri" w:hAnsi="Calibri"/>
          <w:sz w:val="20"/>
          <w:szCs w:val="20"/>
        </w:rPr>
        <w:t xml:space="preserve"> </w:t>
      </w:r>
      <w:r>
        <w:rPr>
          <w:rFonts w:eastAsia="Calibri" w:cs="Calibri" w:ascii="Calibri" w:hAnsi="Calibri"/>
          <w:sz w:val="20"/>
          <w:szCs w:val="20"/>
        </w:rPr>
        <w:t xml:space="preserve">Por favor, asegúrese de que las transferencias relacionadas con estos CCE Art 28 están correctamente cubiertas a través de las herramientas indicadas en la tabla.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lineRule="auto" w:line="276"/>
      <w:jc w:val="right"/>
      <w:rPr>
        <w:rFonts w:ascii="Arial Narrow" w:hAnsi="Arial Narrow" w:eastAsia="Arial Narrow" w:cs="Arial Narrow"/>
      </w:rPr>
    </w:pPr>
    <w:r>
      <w:rPr>
        <w:rFonts w:eastAsia="Arial Narrow" w:cs="Arial Narrow" w:ascii="Arial Narrow" w:hAnsi="Arial Narrow"/>
      </w:rPr>
    </w:r>
  </w:p>
  <w:p>
    <w:pPr>
      <w:pStyle w:val="Normal1"/>
      <w:spacing w:lineRule="auto" w:line="276"/>
      <w:jc w:val="both"/>
      <w:rPr>
        <w:rFonts w:ascii="Roboto Light" w:hAnsi="Roboto Light" w:eastAsia="Roboto Light" w:cs="Roboto Light"/>
        <w:sz w:val="22"/>
        <w:szCs w:val="22"/>
      </w:rPr>
    </w:pPr>
    <w:r>
      <w:rPr>
        <w:rFonts w:eastAsia="Arial Narrow" w:cs="Arial Narrow" w:ascii="Arial Narrow" w:hAnsi="Arial Narrow"/>
      </w:rPr>
      <w:t xml:space="preserve">                                                                                                                                        </w:t>
    </w:r>
    <w:r>
      <w:rPr/>
      <w:drawing>
        <wp:inline distT="0" distB="0" distL="0" distR="0">
          <wp:extent cx="1173480" cy="353060"/>
          <wp:effectExtent l="0" t="0" r="0" b="0"/>
          <wp:docPr id="6"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descr=""/>
                  <pic:cNvPicPr>
                    <a:picLocks noChangeAspect="1" noChangeArrowheads="1"/>
                  </pic:cNvPicPr>
                </pic:nvPicPr>
                <pic:blipFill>
                  <a:blip r:embed="rId1"/>
                  <a:stretch>
                    <a:fillRect/>
                  </a:stretch>
                </pic:blipFill>
                <pic:spPr bwMode="auto">
                  <a:xfrm>
                    <a:off x="0" y="0"/>
                    <a:ext cx="1173480" cy="353060"/>
                  </a:xfrm>
                  <a:prstGeom prst="rect">
                    <a:avLst/>
                  </a:prstGeom>
                </pic:spPr>
              </pic:pic>
            </a:graphicData>
          </a:graphic>
        </wp:inline>
      </w:drawing>
    </w:r>
  </w:p>
  <w:p>
    <w:pPr>
      <w:pStyle w:val="Normal1"/>
      <w:spacing w:lineRule="auto" w:line="276"/>
      <w:jc w:val="both"/>
      <w:rPr>
        <w:rFonts w:ascii="Arial Narrow" w:hAnsi="Arial Narrow" w:eastAsia="Arial Narrow" w:cs="Arial Narrow"/>
        <w:sz w:val="16"/>
        <w:szCs w:val="16"/>
      </w:rPr>
    </w:pPr>
    <w:r>
      <w:rPr>
        <w:rFonts w:eastAsia="Arial Narrow" w:cs="Arial Narrow" w:ascii="Arial Narrow" w:hAnsi="Arial Narrow"/>
        <w:sz w:val="16"/>
        <w:szCs w:val="16"/>
      </w:rPr>
      <w:t>PROCEDIMIENTO ABIERTO PARA LA ADJUDICACIÓN DEL CONTRATO DE LOS SERVICIOS DE LECTURA DE CONTADORES PARA EMPRESAS DEL GRUPO VEOLIA</w:t>
    </w:r>
  </w:p>
  <w:p>
    <w:pPr>
      <w:pStyle w:val="Normal1"/>
      <w:spacing w:lineRule="auto" w:line="276"/>
      <w:jc w:val="right"/>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keepNext w:val="false"/>
      <w:keepLines w:val="false"/>
      <w:widowControl w:val="false"/>
      <w:pBdr/>
      <w:shd w:val="clear" w:fill="auto"/>
      <w:tabs>
        <w:tab w:val="clear" w:pos="720"/>
        <w:tab w:val="center" w:pos="4252" w:leader="none"/>
        <w:tab w:val="right" w:pos="8504" w:leader="none"/>
      </w:tabs>
      <w:spacing w:lineRule="auto" w:line="240" w:before="0" w:after="0"/>
      <w:ind w:hanging="0" w:left="1416" w:right="0"/>
      <w:jc w:val="right"/>
      <w:rPr>
        <w:rFonts w:ascii="Arial Narrow" w:hAnsi="Arial Narrow" w:eastAsia="Arial Narrow" w:cs="Arial Narrow"/>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4"/>
        <w:sz w:val="24"/>
        <w:szCs w:val="24"/>
        <w:u w:val="none"/>
        <w:shd w:fill="auto" w:val="clear"/>
        <w:vertAlign w:val="baseline"/>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lineRule="auto" w:line="276"/>
      <w:jc w:val="both"/>
      <w:rPr/>
    </w:pPr>
    <w:r>
      <w:rPr/>
      <w:drawing>
        <wp:inline distT="0" distB="0" distL="0" distR="0">
          <wp:extent cx="1173480" cy="353060"/>
          <wp:effectExtent l="0" t="0" r="0" b="0"/>
          <wp:docPr id="7"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2" descr=""/>
                  <pic:cNvPicPr>
                    <a:picLocks noChangeAspect="1" noChangeArrowheads="1"/>
                  </pic:cNvPicPr>
                </pic:nvPicPr>
                <pic:blipFill>
                  <a:blip r:embed="rId1"/>
                  <a:stretch>
                    <a:fillRect/>
                  </a:stretch>
                </pic:blipFill>
                <pic:spPr bwMode="auto">
                  <a:xfrm>
                    <a:off x="0" y="0"/>
                    <a:ext cx="1173480" cy="35306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4">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5">
    <w:lvl w:ilvl="0">
      <w:start w:val="1"/>
      <w:numFmt w:val="upperLetter"/>
      <w:lvlText w:val="%1."/>
      <w:lvlJc w:val="left"/>
      <w:pPr>
        <w:tabs>
          <w:tab w:val="num" w:pos="0"/>
        </w:tabs>
        <w:ind w:left="1146" w:hanging="360"/>
      </w:pPr>
      <w:rPr/>
    </w:lvl>
    <w:lvl w:ilvl="1">
      <w:start w:val="1"/>
      <w:numFmt w:val="lowerLetter"/>
      <w:lvlText w:val="%2."/>
      <w:lvlJc w:val="left"/>
      <w:pPr>
        <w:tabs>
          <w:tab w:val="num" w:pos="0"/>
        </w:tabs>
        <w:ind w:left="1866" w:hanging="360"/>
      </w:pPr>
      <w:rPr/>
    </w:lvl>
    <w:lvl w:ilvl="2">
      <w:start w:val="1"/>
      <w:numFmt w:val="lowerRoman"/>
      <w:lvlText w:val="%3."/>
      <w:lvlJc w:val="right"/>
      <w:pPr>
        <w:tabs>
          <w:tab w:val="num" w:pos="0"/>
        </w:tabs>
        <w:ind w:left="2586" w:hanging="180"/>
      </w:pPr>
      <w:rPr/>
    </w:lvl>
    <w:lvl w:ilvl="3">
      <w:start w:val="1"/>
      <w:numFmt w:val="decimal"/>
      <w:lvlText w:val="%4."/>
      <w:lvlJc w:val="left"/>
      <w:pPr>
        <w:tabs>
          <w:tab w:val="num" w:pos="0"/>
        </w:tabs>
        <w:ind w:left="3306" w:hanging="360"/>
      </w:pPr>
      <w:rPr/>
    </w:lvl>
    <w:lvl w:ilvl="4">
      <w:start w:val="1"/>
      <w:numFmt w:val="lowerLetter"/>
      <w:lvlText w:val="%5."/>
      <w:lvlJc w:val="left"/>
      <w:pPr>
        <w:tabs>
          <w:tab w:val="num" w:pos="0"/>
        </w:tabs>
        <w:ind w:left="4026" w:hanging="360"/>
      </w:pPr>
      <w:rPr/>
    </w:lvl>
    <w:lvl w:ilvl="5">
      <w:start w:val="1"/>
      <w:numFmt w:val="lowerRoman"/>
      <w:lvlText w:val="%6."/>
      <w:lvlJc w:val="right"/>
      <w:pPr>
        <w:tabs>
          <w:tab w:val="num" w:pos="0"/>
        </w:tabs>
        <w:ind w:left="4746" w:hanging="180"/>
      </w:pPr>
      <w:rPr/>
    </w:lvl>
    <w:lvl w:ilvl="6">
      <w:start w:val="1"/>
      <w:numFmt w:val="decimal"/>
      <w:lvlText w:val="%7."/>
      <w:lvlJc w:val="left"/>
      <w:pPr>
        <w:tabs>
          <w:tab w:val="num" w:pos="0"/>
        </w:tabs>
        <w:ind w:left="5466" w:hanging="360"/>
      </w:pPr>
      <w:rPr/>
    </w:lvl>
    <w:lvl w:ilvl="7">
      <w:start w:val="1"/>
      <w:numFmt w:val="lowerLetter"/>
      <w:lvlText w:val="%8."/>
      <w:lvlJc w:val="left"/>
      <w:pPr>
        <w:tabs>
          <w:tab w:val="num" w:pos="0"/>
        </w:tabs>
        <w:ind w:left="6186" w:hanging="360"/>
      </w:pPr>
      <w:rPr/>
    </w:lvl>
    <w:lvl w:ilvl="8">
      <w:start w:val="1"/>
      <w:numFmt w:val="lowerRoman"/>
      <w:lvlText w:val="%9."/>
      <w:lvlJc w:val="right"/>
      <w:pPr>
        <w:tabs>
          <w:tab w:val="num" w:pos="0"/>
        </w:tabs>
        <w:ind w:left="6906" w:hanging="180"/>
      </w:pPr>
      <w:rPr/>
    </w:lvl>
  </w:abstractNum>
  <w:abstractNum w:abstractNumId="6">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7">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8">
    <w:lvl w:ilvl="0">
      <w:start w:val="1"/>
      <w:numFmt w:val="low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lowerRoman"/>
      <w:lvlText w:val="(%1)"/>
      <w:lvlJc w:val="left"/>
      <w:pPr>
        <w:tabs>
          <w:tab w:val="num" w:pos="0"/>
        </w:tabs>
        <w:ind w:left="1320" w:hanging="720"/>
      </w:pPr>
      <w:rPr/>
    </w:lvl>
    <w:lvl w:ilvl="1">
      <w:start w:val="1"/>
      <w:numFmt w:val="lowerLetter"/>
      <w:lvlText w:val="%2."/>
      <w:lvlJc w:val="left"/>
      <w:pPr>
        <w:tabs>
          <w:tab w:val="num" w:pos="0"/>
        </w:tabs>
        <w:ind w:left="1680" w:hanging="360"/>
      </w:pPr>
      <w:rPr/>
    </w:lvl>
    <w:lvl w:ilvl="2">
      <w:start w:val="1"/>
      <w:numFmt w:val="lowerRoman"/>
      <w:lvlText w:val="%3."/>
      <w:lvlJc w:val="right"/>
      <w:pPr>
        <w:tabs>
          <w:tab w:val="num" w:pos="0"/>
        </w:tabs>
        <w:ind w:left="2400" w:hanging="180"/>
      </w:pPr>
      <w:rPr/>
    </w:lvl>
    <w:lvl w:ilvl="3">
      <w:start w:val="1"/>
      <w:numFmt w:val="decimal"/>
      <w:lvlText w:val="%4."/>
      <w:lvlJc w:val="left"/>
      <w:pPr>
        <w:tabs>
          <w:tab w:val="num" w:pos="0"/>
        </w:tabs>
        <w:ind w:left="3120" w:hanging="360"/>
      </w:pPr>
      <w:rPr/>
    </w:lvl>
    <w:lvl w:ilvl="4">
      <w:start w:val="1"/>
      <w:numFmt w:val="lowerLetter"/>
      <w:lvlText w:val="%5."/>
      <w:lvlJc w:val="left"/>
      <w:pPr>
        <w:tabs>
          <w:tab w:val="num" w:pos="0"/>
        </w:tabs>
        <w:ind w:left="3840" w:hanging="360"/>
      </w:pPr>
      <w:rPr/>
    </w:lvl>
    <w:lvl w:ilvl="5">
      <w:start w:val="1"/>
      <w:numFmt w:val="lowerRoman"/>
      <w:lvlText w:val="%6."/>
      <w:lvlJc w:val="right"/>
      <w:pPr>
        <w:tabs>
          <w:tab w:val="num" w:pos="0"/>
        </w:tabs>
        <w:ind w:left="4560" w:hanging="180"/>
      </w:pPr>
      <w:rPr/>
    </w:lvl>
    <w:lvl w:ilvl="6">
      <w:start w:val="1"/>
      <w:numFmt w:val="decimal"/>
      <w:lvlText w:val="%7."/>
      <w:lvlJc w:val="left"/>
      <w:pPr>
        <w:tabs>
          <w:tab w:val="num" w:pos="0"/>
        </w:tabs>
        <w:ind w:left="5280" w:hanging="360"/>
      </w:pPr>
      <w:rPr/>
    </w:lvl>
    <w:lvl w:ilvl="7">
      <w:start w:val="1"/>
      <w:numFmt w:val="lowerLetter"/>
      <w:lvlText w:val="%8."/>
      <w:lvlJc w:val="left"/>
      <w:pPr>
        <w:tabs>
          <w:tab w:val="num" w:pos="0"/>
        </w:tabs>
        <w:ind w:left="6000" w:hanging="360"/>
      </w:pPr>
      <w:rPr/>
    </w:lvl>
    <w:lvl w:ilvl="8">
      <w:start w:val="1"/>
      <w:numFmt w:val="lowerRoman"/>
      <w:lvlText w:val="%9."/>
      <w:lvlJc w:val="right"/>
      <w:pPr>
        <w:tabs>
          <w:tab w:val="num" w:pos="0"/>
        </w:tabs>
        <w:ind w:left="6720" w:hanging="180"/>
      </w:pPr>
      <w:rPr/>
    </w:lvl>
  </w:abstractNum>
  <w:abstractNum w:abstractNumId="10">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1">
    <w:lvl w:ilvl="0">
      <w:start w:val="1"/>
      <w:numFmt w:val="bullet"/>
      <w:lvlText w:val="✔"/>
      <w:lvlJc w:val="left"/>
      <w:pPr>
        <w:tabs>
          <w:tab w:val="num" w:pos="0"/>
        </w:tabs>
        <w:ind w:left="360" w:hanging="360"/>
      </w:pPr>
      <w:rPr>
        <w:rFonts w:ascii="Noto Sans Symbols" w:hAnsi="Noto Sans Symbols" w:cs="Noto Sans Symbols" w:hint="default"/>
        <w:sz w:val="20"/>
        <w:szCs w:val="20"/>
        <w:color w:val="000080"/>
      </w:rPr>
    </w:lvl>
    <w:lvl w:ilvl="1">
      <w:start w:val="1"/>
      <w:numFmt w:val="bullet"/>
      <w:lvlText w:val="▪"/>
      <w:lvlJc w:val="left"/>
      <w:pPr>
        <w:tabs>
          <w:tab w:val="num" w:pos="0"/>
        </w:tabs>
        <w:ind w:left="720" w:hanging="360"/>
      </w:pPr>
      <w:rPr>
        <w:rFonts w:ascii="Noto Sans Symbols" w:hAnsi="Noto Sans Symbols" w:cs="Noto Sans Symbols" w:hint="default"/>
        <w:smallCaps w:val="false"/>
        <w:caps w:val="false"/>
        <w:dstrike w:val="false"/>
        <w:strike w:val="false"/>
        <w:vertAlign w:val="baseline"/>
        <w:position w:val="0"/>
        <w:sz w:val="16"/>
        <w:sz w:val="16"/>
        <w:i w:val="false"/>
        <w:u w:val="none"/>
        <w:b/>
        <w:szCs w:val="16"/>
        <w:iCs w:val="false"/>
        <w:bCs/>
        <w:color w:val="333399"/>
      </w:rPr>
    </w:lvl>
    <w:lvl w:ilvl="2">
      <w:start w:val="1"/>
      <w:numFmt w:val="bullet"/>
      <w:lvlText w:val="▪"/>
      <w:lvlJc w:val="left"/>
      <w:pPr>
        <w:tabs>
          <w:tab w:val="num" w:pos="0"/>
        </w:tabs>
        <w:ind w:left="1080" w:hanging="360"/>
      </w:pPr>
      <w:rPr>
        <w:rFonts w:ascii="Noto Sans Symbols" w:hAnsi="Noto Sans Symbols" w:cs="Noto Sans Symbols" w:hint="default"/>
        <w:sz w:val="16"/>
        <w:szCs w:val="16"/>
        <w:color w:val="333399"/>
      </w:rPr>
    </w:lvl>
    <w:lvl w:ilvl="3">
      <w:start w:val="0"/>
      <w:numFmt w:val="bullet"/>
      <w:lvlText w:val="-"/>
      <w:lvlJc w:val="left"/>
      <w:pPr>
        <w:tabs>
          <w:tab w:val="num" w:pos="0"/>
        </w:tabs>
        <w:ind w:left="1440" w:hanging="360"/>
      </w:pPr>
      <w:rPr>
        <w:rFonts w:ascii="Arial Narrow" w:hAnsi="Arial Narrow" w:cs="Arial Narrow" w:hint="default"/>
      </w:rPr>
    </w:lvl>
    <w:lvl w:ilvl="4">
      <w:start w:val="1"/>
      <w:numFmt w:val="bullet"/>
      <w:lvlText w:val="♦"/>
      <w:lvlJc w:val="left"/>
      <w:pPr>
        <w:tabs>
          <w:tab w:val="num" w:pos="0"/>
        </w:tabs>
        <w:ind w:left="1800" w:hanging="360"/>
      </w:pPr>
      <w:rPr>
        <w:rFonts w:ascii="Noto Sans Symbols" w:hAnsi="Noto Sans Symbols" w:cs="Noto Sans Symbols" w:hint="default"/>
      </w:rPr>
    </w:lvl>
    <w:lvl w:ilvl="5">
      <w:start w:val="1"/>
      <w:numFmt w:val="bullet"/>
      <w:lvlText w:val="⮚"/>
      <w:lvlJc w:val="left"/>
      <w:pPr>
        <w:tabs>
          <w:tab w:val="num" w:pos="0"/>
        </w:tabs>
        <w:ind w:left="2160" w:hanging="360"/>
      </w:pPr>
      <w:rPr>
        <w:rFonts w:ascii="Noto Sans Symbols" w:hAnsi="Noto Sans Symbols" w:cs="Noto Sans Symbols" w:hint="default"/>
      </w:rPr>
    </w:lvl>
    <w:lvl w:ilvl="6">
      <w:start w:val="1"/>
      <w:numFmt w:val="bullet"/>
      <w:lvlText w:val="▪"/>
      <w:lvlJc w:val="left"/>
      <w:pPr>
        <w:tabs>
          <w:tab w:val="num" w:pos="0"/>
        </w:tabs>
        <w:ind w:left="2520" w:hanging="360"/>
      </w:pPr>
      <w:rPr>
        <w:rFonts w:ascii="Noto Sans Symbols" w:hAnsi="Noto Sans Symbols" w:cs="Noto Sans Symbols" w:hint="default"/>
      </w:rPr>
    </w:lvl>
    <w:lvl w:ilvl="7">
      <w:start w:val="1"/>
      <w:numFmt w:val="bullet"/>
      <w:lvlText w:val="●"/>
      <w:lvlJc w:val="left"/>
      <w:pPr>
        <w:tabs>
          <w:tab w:val="num" w:pos="0"/>
        </w:tabs>
        <w:ind w:left="2880" w:hanging="360"/>
      </w:pPr>
      <w:rPr>
        <w:rFonts w:ascii="Noto Sans Symbols" w:hAnsi="Noto Sans Symbols" w:cs="Noto Sans Symbols" w:hint="default"/>
      </w:rPr>
    </w:lvl>
    <w:lvl w:ilvl="8">
      <w:start w:val="1"/>
      <w:numFmt w:val="bullet"/>
      <w:lvlText w:val="♦"/>
      <w:lvlJc w:val="left"/>
      <w:pPr>
        <w:tabs>
          <w:tab w:val="num" w:pos="0"/>
        </w:tabs>
        <w:ind w:left="3240" w:hanging="360"/>
      </w:pPr>
      <w:rPr>
        <w:rFonts w:ascii="Noto Sans Symbols" w:hAnsi="Noto Sans Symbols" w:cs="Noto Sans Symbols" w:hint="default"/>
      </w:rPr>
    </w:lvl>
  </w:abstractNum>
  <w:abstractNum w:abstractNumId="12">
    <w:lvl w:ilvl="0">
      <w:start w:val="1"/>
      <w:numFmt w:val="decimal"/>
      <w:lvlText w:val="%1."/>
      <w:lvlJc w:val="left"/>
      <w:pPr>
        <w:tabs>
          <w:tab w:val="num" w:pos="0"/>
        </w:tabs>
        <w:ind w:left="1068" w:hanging="360"/>
      </w:pPr>
      <w:rPr/>
    </w:lvl>
    <w:lvl w:ilvl="1">
      <w:start w:val="1"/>
      <w:numFmt w:val="lowerLetter"/>
      <w:lvlText w:val="%2."/>
      <w:lvlJc w:val="left"/>
      <w:pPr>
        <w:tabs>
          <w:tab w:val="num" w:pos="0"/>
        </w:tabs>
        <w:ind w:left="1788" w:hanging="360"/>
      </w:pPr>
      <w:rPr/>
    </w:lvl>
    <w:lvl w:ilvl="2">
      <w:start w:val="1"/>
      <w:numFmt w:val="lowerRoman"/>
      <w:lvlText w:val="%3."/>
      <w:lvlJc w:val="right"/>
      <w:pPr>
        <w:tabs>
          <w:tab w:val="num" w:pos="0"/>
        </w:tabs>
        <w:ind w:left="2508" w:hanging="180"/>
      </w:pPr>
      <w:rPr/>
    </w:lvl>
    <w:lvl w:ilvl="3">
      <w:start w:val="1"/>
      <w:numFmt w:val="decimal"/>
      <w:lvlText w:val="%4."/>
      <w:lvlJc w:val="left"/>
      <w:pPr>
        <w:tabs>
          <w:tab w:val="num" w:pos="0"/>
        </w:tabs>
        <w:ind w:left="3228" w:hanging="360"/>
      </w:pPr>
      <w:rPr/>
    </w:lvl>
    <w:lvl w:ilvl="4">
      <w:start w:val="1"/>
      <w:numFmt w:val="lowerLetter"/>
      <w:lvlText w:val="%5."/>
      <w:lvlJc w:val="left"/>
      <w:pPr>
        <w:tabs>
          <w:tab w:val="num" w:pos="0"/>
        </w:tabs>
        <w:ind w:left="3948" w:hanging="360"/>
      </w:pPr>
      <w:rPr/>
    </w:lvl>
    <w:lvl w:ilvl="5">
      <w:start w:val="1"/>
      <w:numFmt w:val="lowerRoman"/>
      <w:lvlText w:val="%6."/>
      <w:lvlJc w:val="right"/>
      <w:pPr>
        <w:tabs>
          <w:tab w:val="num" w:pos="0"/>
        </w:tabs>
        <w:ind w:left="4668" w:hanging="180"/>
      </w:pPr>
      <w:rPr/>
    </w:lvl>
    <w:lvl w:ilvl="6">
      <w:start w:val="1"/>
      <w:numFmt w:val="decimal"/>
      <w:lvlText w:val="%7."/>
      <w:lvlJc w:val="left"/>
      <w:pPr>
        <w:tabs>
          <w:tab w:val="num" w:pos="0"/>
        </w:tabs>
        <w:ind w:left="5388" w:hanging="360"/>
      </w:pPr>
      <w:rPr/>
    </w:lvl>
    <w:lvl w:ilvl="7">
      <w:start w:val="1"/>
      <w:numFmt w:val="lowerLetter"/>
      <w:lvlText w:val="%8."/>
      <w:lvlJc w:val="left"/>
      <w:pPr>
        <w:tabs>
          <w:tab w:val="num" w:pos="0"/>
        </w:tabs>
        <w:ind w:left="6108" w:hanging="360"/>
      </w:pPr>
      <w:rPr/>
    </w:lvl>
    <w:lvl w:ilvl="8">
      <w:start w:val="1"/>
      <w:numFmt w:val="lowerRoman"/>
      <w:lvlText w:val="%9."/>
      <w:lvlJc w:val="right"/>
      <w:pPr>
        <w:tabs>
          <w:tab w:val="num" w:pos="0"/>
        </w:tabs>
        <w:ind w:left="6828" w:hanging="180"/>
      </w:pPr>
      <w:rPr/>
    </w:lvl>
  </w:abstractNum>
  <w:abstractNum w:abstractNumId="13">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14">
    <w:lvl w:ilvl="0">
      <w:start w:val="1"/>
      <w:numFmt w:val="decimal"/>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15">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16">
    <w:lvl w:ilvl="0">
      <w:start w:val="1"/>
      <w:numFmt w:val="decimal"/>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17">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18">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o"/>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o"/>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o"/>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9">
    <w:lvl w:ilvl="0">
      <w:start w:val="1"/>
      <w:numFmt w:val="bullet"/>
      <w:lvlText w:val="-"/>
      <w:lvlJc w:val="left"/>
      <w:pPr>
        <w:tabs>
          <w:tab w:val="num" w:pos="0"/>
        </w:tabs>
        <w:ind w:left="1440" w:hanging="360"/>
      </w:pPr>
      <w:rPr>
        <w:rFonts w:ascii="OpenSymbol" w:hAnsi="OpenSymbol" w:cs="OpenSymbol" w:hint="default"/>
        <w:u w:val="none"/>
      </w:rPr>
    </w:lvl>
    <w:lvl w:ilvl="1">
      <w:start w:val="1"/>
      <w:numFmt w:val="bullet"/>
      <w:lvlText w:val="-"/>
      <w:lvlJc w:val="left"/>
      <w:pPr>
        <w:tabs>
          <w:tab w:val="num" w:pos="0"/>
        </w:tabs>
        <w:ind w:left="2160" w:hanging="360"/>
      </w:pPr>
      <w:rPr>
        <w:rFonts w:ascii="OpenSymbol" w:hAnsi="OpenSymbol" w:cs="OpenSymbol" w:hint="default"/>
        <w:u w:val="none"/>
      </w:rPr>
    </w:lvl>
    <w:lvl w:ilvl="2">
      <w:start w:val="1"/>
      <w:numFmt w:val="bullet"/>
      <w:lvlText w:val="-"/>
      <w:lvlJc w:val="left"/>
      <w:pPr>
        <w:tabs>
          <w:tab w:val="num" w:pos="0"/>
        </w:tabs>
        <w:ind w:left="2880" w:hanging="360"/>
      </w:pPr>
      <w:rPr>
        <w:rFonts w:ascii="OpenSymbol" w:hAnsi="OpenSymbol" w:cs="OpenSymbol" w:hint="default"/>
        <w:u w:val="none"/>
      </w:rPr>
    </w:lvl>
    <w:lvl w:ilvl="3">
      <w:start w:val="1"/>
      <w:numFmt w:val="bullet"/>
      <w:lvlText w:val="-"/>
      <w:lvlJc w:val="left"/>
      <w:pPr>
        <w:tabs>
          <w:tab w:val="num" w:pos="0"/>
        </w:tabs>
        <w:ind w:left="3600" w:hanging="360"/>
      </w:pPr>
      <w:rPr>
        <w:rFonts w:ascii="OpenSymbol" w:hAnsi="OpenSymbol" w:cs="OpenSymbol" w:hint="default"/>
        <w:u w:val="none"/>
      </w:rPr>
    </w:lvl>
    <w:lvl w:ilvl="4">
      <w:start w:val="1"/>
      <w:numFmt w:val="bullet"/>
      <w:lvlText w:val="-"/>
      <w:lvlJc w:val="left"/>
      <w:pPr>
        <w:tabs>
          <w:tab w:val="num" w:pos="0"/>
        </w:tabs>
        <w:ind w:left="4320" w:hanging="360"/>
      </w:pPr>
      <w:rPr>
        <w:rFonts w:ascii="OpenSymbol" w:hAnsi="OpenSymbol" w:cs="OpenSymbol" w:hint="default"/>
        <w:u w:val="none"/>
      </w:rPr>
    </w:lvl>
    <w:lvl w:ilvl="5">
      <w:start w:val="1"/>
      <w:numFmt w:val="bullet"/>
      <w:lvlText w:val="-"/>
      <w:lvlJc w:val="left"/>
      <w:pPr>
        <w:tabs>
          <w:tab w:val="num" w:pos="0"/>
        </w:tabs>
        <w:ind w:left="5040" w:hanging="360"/>
      </w:pPr>
      <w:rPr>
        <w:rFonts w:ascii="OpenSymbol" w:hAnsi="OpenSymbol" w:cs="OpenSymbol" w:hint="default"/>
        <w:u w:val="none"/>
      </w:rPr>
    </w:lvl>
    <w:lvl w:ilvl="6">
      <w:start w:val="1"/>
      <w:numFmt w:val="bullet"/>
      <w:lvlText w:val="-"/>
      <w:lvlJc w:val="left"/>
      <w:pPr>
        <w:tabs>
          <w:tab w:val="num" w:pos="0"/>
        </w:tabs>
        <w:ind w:left="5760" w:hanging="360"/>
      </w:pPr>
      <w:rPr>
        <w:rFonts w:ascii="OpenSymbol" w:hAnsi="OpenSymbol" w:cs="OpenSymbol" w:hint="default"/>
        <w:u w:val="none"/>
      </w:rPr>
    </w:lvl>
    <w:lvl w:ilvl="7">
      <w:start w:val="1"/>
      <w:numFmt w:val="bullet"/>
      <w:lvlText w:val="-"/>
      <w:lvlJc w:val="left"/>
      <w:pPr>
        <w:tabs>
          <w:tab w:val="num" w:pos="0"/>
        </w:tabs>
        <w:ind w:left="6480" w:hanging="360"/>
      </w:pPr>
      <w:rPr>
        <w:rFonts w:ascii="OpenSymbol" w:hAnsi="OpenSymbol" w:cs="OpenSymbol" w:hint="default"/>
        <w:u w:val="none"/>
      </w:rPr>
    </w:lvl>
    <w:lvl w:ilvl="8">
      <w:start w:val="1"/>
      <w:numFmt w:val="bullet"/>
      <w:lvlText w:val="-"/>
      <w:lvlJc w:val="left"/>
      <w:pPr>
        <w:tabs>
          <w:tab w:val="num" w:pos="0"/>
        </w:tabs>
        <w:ind w:left="7200" w:hanging="360"/>
      </w:pPr>
      <w:rPr>
        <w:rFonts w:ascii="OpenSymbol" w:hAnsi="OpenSymbol" w:cs="OpenSymbol" w:hint="default"/>
        <w:u w:val="none"/>
      </w:rPr>
    </w:lvl>
  </w:abstractNum>
  <w:abstractNum w:abstractNumId="20">
    <w:lvl w:ilvl="0">
      <w:start w:val="1"/>
      <w:numFmt w:val="decimal"/>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21">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22">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23">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4">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5">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26">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2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w="http://schemas.openxmlformats.org/wordprocessingml/2006/main">
  <w:zoom w:percent="120"/>
  <w:embedTrueTypeFonts/>
  <w:defaultTabStop w:val="720"/>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Book Antiqua" w:hAnsi="Book Antiqua" w:eastAsia="Book Antiqua" w:cs="Book Antiqua"/>
        <w:sz w:val="24"/>
        <w:szCs w:val="24"/>
        <w:lang w:val="es-ES" w:eastAsia="zh-CN" w:bidi="hi-IN"/>
      </w:rPr>
    </w:rPrDefault>
    <w:pPrDefault>
      <w:pPr>
        <w:suppressAutoHyphens w:val="true"/>
      </w:pPr>
    </w:pPrDefault>
  </w:docDefaults>
  <w:style w:type="paragraph" w:styleId="Normal">
    <w:name w:val="Normal"/>
    <w:qFormat/>
    <w:pPr>
      <w:widowControl w:val="false"/>
      <w:bidi w:val="0"/>
      <w:spacing w:before="0" w:after="0"/>
      <w:jc w:val="left"/>
    </w:pPr>
    <w:rPr>
      <w:rFonts w:ascii="Book Antiqua" w:hAnsi="Book Antiqua" w:eastAsia="Book Antiqua" w:cs="Book Antiqua"/>
      <w:color w:val="auto"/>
      <w:kern w:val="0"/>
      <w:sz w:val="24"/>
      <w:szCs w:val="24"/>
      <w:lang w:val="es-ES" w:eastAsia="zh-CN" w:bidi="hi-IN"/>
    </w:rPr>
  </w:style>
  <w:style w:type="paragraph" w:styleId="Heading1">
    <w:name w:val="Heading 1"/>
    <w:basedOn w:val="Normal1"/>
    <w:next w:val="Normal1"/>
    <w:qFormat/>
    <w:pPr>
      <w:keepNext w:val="true"/>
      <w:widowControl/>
      <w:spacing w:lineRule="auto" w:line="240" w:before="240" w:after="60"/>
    </w:pPr>
    <w:rPr>
      <w:b/>
      <w:bCs/>
      <w:smallCaps/>
    </w:rPr>
  </w:style>
  <w:style w:type="paragraph" w:styleId="Heading2">
    <w:name w:val="Heading 2"/>
    <w:basedOn w:val="Normal1"/>
    <w:next w:val="Normal1"/>
    <w:qFormat/>
    <w:pPr>
      <w:keepNext w:val="true"/>
      <w:keepLines/>
      <w:spacing w:lineRule="auto" w:line="240" w:before="200" w:after="0"/>
      <w:ind w:hanging="0" w:left="0"/>
    </w:pPr>
    <w:rPr>
      <w:b/>
      <w:bCs/>
      <w:u w:val="single"/>
    </w:rPr>
  </w:style>
  <w:style w:type="paragraph" w:styleId="Heading3">
    <w:name w:val="Heading 3"/>
    <w:basedOn w:val="Normal1"/>
    <w:next w:val="Normal1"/>
    <w:qFormat/>
    <w:pPr>
      <w:keepNext w:val="true"/>
      <w:keepLines/>
      <w:spacing w:lineRule="auto" w:line="240" w:before="40" w:after="0"/>
      <w:ind w:hanging="432" w:left="720"/>
    </w:pPr>
    <w:rPr>
      <w:rFonts w:ascii="Calibri" w:hAnsi="Calibri" w:eastAsia="Calibri" w:cs="Calibri"/>
      <w:color w:val="1E4D78"/>
    </w:rPr>
  </w:style>
  <w:style w:type="paragraph" w:styleId="Heading4">
    <w:name w:val="Heading 4"/>
    <w:basedOn w:val="Normal1"/>
    <w:next w:val="Normal1"/>
    <w:qFormat/>
    <w:pPr>
      <w:keepNext w:val="true"/>
      <w:widowControl/>
      <w:spacing w:lineRule="auto" w:line="240" w:before="240" w:after="60"/>
      <w:ind w:hanging="144" w:left="864"/>
      <w:jc w:val="both"/>
    </w:pPr>
    <w:rPr>
      <w:b/>
      <w:bCs/>
      <w:u w:val="none"/>
    </w:rPr>
  </w:style>
  <w:style w:type="paragraph" w:styleId="Heading5">
    <w:name w:val="Heading 5"/>
    <w:basedOn w:val="Normal1"/>
    <w:next w:val="Normal1"/>
    <w:qFormat/>
    <w:pPr>
      <w:widowControl/>
      <w:spacing w:lineRule="auto" w:line="240" w:before="240" w:after="60"/>
      <w:ind w:hanging="432" w:left="1008"/>
      <w:jc w:val="both"/>
    </w:pPr>
    <w:rPr/>
  </w:style>
  <w:style w:type="paragraph" w:styleId="Heading6">
    <w:name w:val="Heading 6"/>
    <w:basedOn w:val="Normal1"/>
    <w:next w:val="Normal1"/>
    <w:qFormat/>
    <w:pPr>
      <w:widowControl/>
      <w:spacing w:lineRule="auto" w:line="240" w:before="240" w:after="60"/>
      <w:ind w:hanging="432" w:left="1152"/>
      <w:jc w:val="both"/>
    </w:pPr>
    <w:rPr>
      <w:i/>
      <w:iCs/>
      <w:sz w:val="22"/>
      <w:szCs w:val="22"/>
    </w:rPr>
  </w:style>
  <w:style w:type="paragraph" w:styleId="Heading7">
    <w:name w:val="Heading 7"/>
    <w:basedOn w:val="Normal1"/>
    <w:next w:val="Normal1"/>
    <w:link w:val="Ttulo7Car"/>
    <w:uiPriority w:val="99"/>
    <w:qFormat/>
    <w:rsid w:val="00fc40b3"/>
    <w:pPr>
      <w:widowControl/>
      <w:numPr>
        <w:ilvl w:val="6"/>
        <w:numId w:val="11"/>
      </w:numPr>
      <w:spacing w:before="240" w:after="60"/>
      <w:jc w:val="both"/>
      <w:outlineLvl w:val="6"/>
    </w:pPr>
    <w:rPr>
      <w:rFonts w:cs="Times New Roman"/>
      <w:lang w:bidi="ar-SA"/>
    </w:rPr>
  </w:style>
  <w:style w:type="paragraph" w:styleId="Heading8">
    <w:name w:val="Heading 8"/>
    <w:basedOn w:val="Normal1"/>
    <w:next w:val="Normal1"/>
    <w:link w:val="Ttulo8Car"/>
    <w:uiPriority w:val="99"/>
    <w:qFormat/>
    <w:rsid w:val="00fc40b3"/>
    <w:pPr>
      <w:widowControl/>
      <w:numPr>
        <w:ilvl w:val="7"/>
        <w:numId w:val="11"/>
      </w:numPr>
      <w:spacing w:before="240" w:after="60"/>
      <w:jc w:val="both"/>
      <w:outlineLvl w:val="7"/>
    </w:pPr>
    <w:rPr>
      <w:rFonts w:cs="Times New Roman"/>
      <w:i/>
      <w:lang w:bidi="ar-SA"/>
    </w:rPr>
  </w:style>
  <w:style w:type="paragraph" w:styleId="Heading9">
    <w:name w:val="Heading 9"/>
    <w:basedOn w:val="Normal1"/>
    <w:next w:val="Normal1"/>
    <w:link w:val="Ttulo9Car"/>
    <w:uiPriority w:val="99"/>
    <w:qFormat/>
    <w:rsid w:val="00fc40b3"/>
    <w:pPr>
      <w:widowControl/>
      <w:numPr>
        <w:ilvl w:val="8"/>
        <w:numId w:val="11"/>
      </w:numPr>
      <w:spacing w:before="240" w:after="60"/>
      <w:jc w:val="both"/>
      <w:outlineLvl w:val="8"/>
    </w:pPr>
    <w:rPr>
      <w:rFonts w:cs="Times New Roman"/>
      <w:i/>
      <w:sz w:val="18"/>
      <w:lang w:bidi="ar-SA"/>
    </w:rPr>
  </w:style>
  <w:style w:type="character" w:styleId="DefaultParagraphFont" w:default="1">
    <w:name w:val="Default Paragraph Font"/>
    <w:uiPriority w:val="1"/>
    <w:semiHidden/>
    <w:unhideWhenUsed/>
    <w:qFormat/>
    <w:rPr/>
  </w:style>
  <w:style w:type="character" w:styleId="Ttulo1Car" w:customStyle="1">
    <w:name w:val="Título 1 Car"/>
    <w:basedOn w:val="DefaultParagraphFont"/>
    <w:qFormat/>
    <w:rsid w:val="00324890"/>
    <w:rPr>
      <w:rFonts w:ascii="Book Antiqua" w:hAnsi="Book Antiqua" w:eastAsia="Times New Roman" w:cs="Times New Roman"/>
      <w:b/>
      <w:caps/>
      <w:kern w:val="2"/>
      <w:sz w:val="24"/>
      <w:szCs w:val="20"/>
      <w:lang w:val="ca-ES" w:eastAsia="es-ES"/>
    </w:rPr>
  </w:style>
  <w:style w:type="character" w:styleId="Ttulo2Car" w:customStyle="1">
    <w:name w:val="Título 2 Car"/>
    <w:basedOn w:val="DefaultParagraphFont"/>
    <w:qFormat/>
    <w:rsid w:val="00324890"/>
    <w:rPr>
      <w:rFonts w:ascii="Book Antiqua" w:hAnsi="Book Antiqua" w:eastAsia="" w:cs="" w:cstheme="majorBidi" w:eastAsiaTheme="majorEastAsia"/>
      <w:b/>
      <w:bCs/>
      <w:sz w:val="24"/>
      <w:szCs w:val="23"/>
      <w:u w:val="single"/>
      <w:lang w:eastAsia="es-ES" w:bidi="ks-Deva"/>
    </w:rPr>
  </w:style>
  <w:style w:type="character" w:styleId="Ttulo3Car" w:customStyle="1">
    <w:name w:val="Título 3 Car"/>
    <w:basedOn w:val="DefaultParagraphFont"/>
    <w:qFormat/>
    <w:rsid w:val="00fc40b3"/>
    <w:rPr>
      <w:rFonts w:ascii="Calibri Light" w:hAnsi="Calibri Light" w:eastAsia="" w:cs="" w:asciiTheme="majorHAnsi" w:cstheme="majorBidi" w:eastAsiaTheme="majorEastAsia" w:hAnsiTheme="majorHAnsi"/>
      <w:color w:themeColor="accent1" w:themeShade="7f" w:val="1F4D78"/>
      <w:sz w:val="24"/>
      <w:szCs w:val="21"/>
      <w:lang w:eastAsia="es-ES" w:bidi="ks-Deva"/>
    </w:rPr>
  </w:style>
  <w:style w:type="character" w:styleId="Ttulo4Car" w:customStyle="1">
    <w:name w:val="Título 4 Car"/>
    <w:basedOn w:val="DefaultParagraphFont"/>
    <w:qFormat/>
    <w:rsid w:val="00fc40b3"/>
    <w:rPr>
      <w:rFonts w:ascii="Book Antiqua" w:hAnsi="Book Antiqua" w:eastAsia="Times New Roman" w:cs="Times New Roman"/>
      <w:b/>
      <w:sz w:val="24"/>
      <w:szCs w:val="20"/>
      <w:u w:val="none" w:color="333399"/>
      <w:lang w:eastAsia="es-ES"/>
    </w:rPr>
  </w:style>
  <w:style w:type="character" w:styleId="Ttulo5Car" w:customStyle="1">
    <w:name w:val="Título 5 Car"/>
    <w:basedOn w:val="DefaultParagraphFont"/>
    <w:qFormat/>
    <w:rsid w:val="00fc40b3"/>
    <w:rPr>
      <w:rFonts w:ascii="Book Antiqua" w:hAnsi="Book Antiqua" w:eastAsia="Times New Roman" w:cs="Times New Roman"/>
      <w:sz w:val="24"/>
      <w:szCs w:val="20"/>
      <w:lang w:eastAsia="es-ES"/>
    </w:rPr>
  </w:style>
  <w:style w:type="character" w:styleId="Ttulo6Car" w:customStyle="1">
    <w:name w:val="Título 6 Car"/>
    <w:basedOn w:val="DefaultParagraphFont"/>
    <w:qFormat/>
    <w:rsid w:val="00fc40b3"/>
    <w:rPr>
      <w:rFonts w:ascii="Book Antiqua" w:hAnsi="Book Antiqua" w:eastAsia="Times New Roman" w:cs="Times New Roman"/>
      <w:i/>
      <w:szCs w:val="20"/>
      <w:lang w:eastAsia="es-ES"/>
    </w:rPr>
  </w:style>
  <w:style w:type="character" w:styleId="Ttulo7Car" w:customStyle="1">
    <w:name w:val="Título 7 Car"/>
    <w:basedOn w:val="DefaultParagraphFont"/>
    <w:uiPriority w:val="99"/>
    <w:qFormat/>
    <w:rsid w:val="00fc40b3"/>
    <w:rPr>
      <w:rFonts w:ascii="Book Antiqua" w:hAnsi="Book Antiqua" w:eastAsia="Times New Roman" w:cs="Times New Roman"/>
      <w:sz w:val="24"/>
      <w:szCs w:val="20"/>
      <w:lang w:eastAsia="es-ES"/>
    </w:rPr>
  </w:style>
  <w:style w:type="character" w:styleId="Ttulo8Car" w:customStyle="1">
    <w:name w:val="Título 8 Car"/>
    <w:basedOn w:val="DefaultParagraphFont"/>
    <w:uiPriority w:val="99"/>
    <w:qFormat/>
    <w:rsid w:val="00fc40b3"/>
    <w:rPr>
      <w:rFonts w:ascii="Book Antiqua" w:hAnsi="Book Antiqua" w:eastAsia="Times New Roman" w:cs="Times New Roman"/>
      <w:i/>
      <w:sz w:val="24"/>
      <w:szCs w:val="20"/>
      <w:lang w:eastAsia="es-ES"/>
    </w:rPr>
  </w:style>
  <w:style w:type="character" w:styleId="Ttulo9Car" w:customStyle="1">
    <w:name w:val="Título 9 Car"/>
    <w:basedOn w:val="DefaultParagraphFont"/>
    <w:uiPriority w:val="99"/>
    <w:qFormat/>
    <w:rsid w:val="00fc40b3"/>
    <w:rPr>
      <w:rFonts w:ascii="Book Antiqua" w:hAnsi="Book Antiqua" w:eastAsia="Times New Roman" w:cs="Times New Roman"/>
      <w:i/>
      <w:sz w:val="18"/>
      <w:szCs w:val="20"/>
      <w:lang w:eastAsia="es-ES"/>
    </w:rPr>
  </w:style>
  <w:style w:type="character" w:styleId="EncabezadoCar" w:customStyle="1">
    <w:name w:val="Encabezado Car"/>
    <w:basedOn w:val="DefaultParagraphFont"/>
    <w:uiPriority w:val="99"/>
    <w:qFormat/>
    <w:rsid w:val="00fc40b3"/>
    <w:rPr>
      <w:rFonts w:ascii="Arial" w:hAnsi="Arial" w:eastAsia="Times New Roman" w:cs="Arial"/>
      <w:sz w:val="20"/>
      <w:szCs w:val="18"/>
      <w:lang w:eastAsia="es-ES" w:bidi="ks-Deva"/>
    </w:rPr>
  </w:style>
  <w:style w:type="character" w:styleId="PiedepginaCar" w:customStyle="1">
    <w:name w:val="Pie de página Car"/>
    <w:basedOn w:val="DefaultParagraphFont"/>
    <w:uiPriority w:val="99"/>
    <w:qFormat/>
    <w:rsid w:val="00fc40b3"/>
    <w:rPr>
      <w:rFonts w:ascii="Arial" w:hAnsi="Arial" w:eastAsia="Times New Roman" w:cs="Arial"/>
      <w:sz w:val="20"/>
      <w:szCs w:val="18"/>
      <w:lang w:eastAsia="es-ES" w:bidi="ks-Deva"/>
    </w:rPr>
  </w:style>
  <w:style w:type="character" w:styleId="Annotationreference">
    <w:name w:val="annotation reference"/>
    <w:basedOn w:val="DefaultParagraphFont"/>
    <w:uiPriority w:val="99"/>
    <w:semiHidden/>
    <w:unhideWhenUsed/>
    <w:qFormat/>
    <w:rsid w:val="00fc40b3"/>
    <w:rPr>
      <w:sz w:val="16"/>
      <w:szCs w:val="16"/>
    </w:rPr>
  </w:style>
  <w:style w:type="character" w:styleId="TextocomentarioCar" w:customStyle="1">
    <w:name w:val="Texto comentario Car"/>
    <w:basedOn w:val="DefaultParagraphFont"/>
    <w:link w:val="Annotationtext"/>
    <w:uiPriority w:val="99"/>
    <w:qFormat/>
    <w:rsid w:val="00fc40b3"/>
    <w:rPr>
      <w:rFonts w:ascii="Arial" w:hAnsi="Arial" w:eastAsia="Times New Roman" w:cs="Arial"/>
      <w:sz w:val="20"/>
      <w:szCs w:val="18"/>
      <w:lang w:eastAsia="es-ES" w:bidi="ks-Deva"/>
    </w:rPr>
  </w:style>
  <w:style w:type="character" w:styleId="AsuntodelcomentarioCar" w:customStyle="1">
    <w:name w:val="Asunto del comentario Car"/>
    <w:basedOn w:val="TextocomentarioCar"/>
    <w:link w:val="Annotationsubject"/>
    <w:uiPriority w:val="99"/>
    <w:semiHidden/>
    <w:qFormat/>
    <w:rsid w:val="00fc40b3"/>
    <w:rPr>
      <w:rFonts w:ascii="Arial" w:hAnsi="Arial" w:eastAsia="Times New Roman" w:cs="Arial"/>
      <w:b/>
      <w:bCs/>
      <w:sz w:val="20"/>
      <w:szCs w:val="18"/>
      <w:lang w:eastAsia="es-ES" w:bidi="ks-Deva"/>
    </w:rPr>
  </w:style>
  <w:style w:type="character" w:styleId="TextodegloboCar" w:customStyle="1">
    <w:name w:val="Texto de globo Car"/>
    <w:basedOn w:val="DefaultParagraphFont"/>
    <w:link w:val="BalloonText"/>
    <w:uiPriority w:val="99"/>
    <w:semiHidden/>
    <w:qFormat/>
    <w:rsid w:val="00fc40b3"/>
    <w:rPr>
      <w:rFonts w:ascii="Tahoma" w:hAnsi="Tahoma" w:eastAsia="Times New Roman" w:cs="Tahoma"/>
      <w:sz w:val="16"/>
      <w:szCs w:val="14"/>
      <w:lang w:eastAsia="es-ES" w:bidi="ks-Deva"/>
    </w:rPr>
  </w:style>
  <w:style w:type="character" w:styleId="TextonotapieCar" w:customStyle="1">
    <w:name w:val="Texto nota pie Car"/>
    <w:basedOn w:val="DefaultParagraphFont"/>
    <w:uiPriority w:val="99"/>
    <w:semiHidden/>
    <w:qFormat/>
    <w:rsid w:val="00fc40b3"/>
    <w:rPr>
      <w:rFonts w:ascii="Arial" w:hAnsi="Arial" w:eastAsia="Times New Roman" w:cs="Arial"/>
      <w:sz w:val="20"/>
      <w:szCs w:val="18"/>
      <w:lang w:eastAsia="es-ES" w:bidi="ks-Deva"/>
    </w:rPr>
  </w:style>
  <w:style w:type="character" w:styleId="Caracteresdenotaalpie">
    <w:name w:val="Caracteres de nota al pie"/>
    <w:basedOn w:val="DefaultParagraphFont"/>
    <w:semiHidden/>
    <w:unhideWhenUsed/>
    <w:qFormat/>
    <w:rsid w:val="00fc40b3"/>
    <w:rPr>
      <w:vertAlign w:val="superscript"/>
    </w:rPr>
  </w:style>
  <w:style w:type="character" w:styleId="FootnoteReference">
    <w:name w:val="Footnote Reference"/>
    <w:rPr>
      <w:vertAlign w:val="superscript"/>
    </w:rPr>
  </w:style>
  <w:style w:type="character" w:styleId="PrrafodelistaCar" w:customStyle="1">
    <w:name w:val="Párrafo de lista Car"/>
    <w:link w:val="ListParagraph"/>
    <w:uiPriority w:val="34"/>
    <w:qFormat/>
    <w:locked/>
    <w:rsid w:val="00fc40b3"/>
    <w:rPr>
      <w:rFonts w:ascii="Arial" w:hAnsi="Arial" w:eastAsia="Times New Roman" w:cs="Arial"/>
      <w:sz w:val="20"/>
      <w:szCs w:val="18"/>
      <w:lang w:eastAsia="es-ES" w:bidi="ks-Deva"/>
    </w:rPr>
  </w:style>
  <w:style w:type="character" w:styleId="Textoindependiente3Car1" w:customStyle="1">
    <w:name w:val="Texto independiente 3 Car1"/>
    <w:link w:val="BodyText3"/>
    <w:uiPriority w:val="99"/>
    <w:qFormat/>
    <w:locked/>
    <w:rsid w:val="00fc40b3"/>
    <w:rPr>
      <w:rFonts w:ascii="Arial Narrow" w:hAnsi="Arial Narrow" w:eastAsia="Times New Roman" w:cs="Arial Narrow"/>
      <w:sz w:val="20"/>
      <w:szCs w:val="20"/>
      <w:lang w:val="es-ES_tradnl" w:eastAsia="es-ES"/>
    </w:rPr>
  </w:style>
  <w:style w:type="character" w:styleId="Textoindependiente3Car" w:customStyle="1">
    <w:name w:val="Texto independiente 3 Car"/>
    <w:basedOn w:val="DefaultParagraphFont"/>
    <w:qFormat/>
    <w:rsid w:val="00fc40b3"/>
    <w:rPr>
      <w:rFonts w:ascii="Arial" w:hAnsi="Arial" w:eastAsia="Times New Roman" w:cs="Arial"/>
      <w:sz w:val="16"/>
      <w:szCs w:val="14"/>
      <w:lang w:eastAsia="es-ES" w:bidi="ks-Deva"/>
    </w:rPr>
  </w:style>
  <w:style w:type="character" w:styleId="SangradetextonormalCar" w:customStyle="1">
    <w:name w:val="Sangría de texto normal Car"/>
    <w:basedOn w:val="DefaultParagraphFont"/>
    <w:uiPriority w:val="99"/>
    <w:qFormat/>
    <w:rsid w:val="00fc40b3"/>
    <w:rPr>
      <w:rFonts w:ascii="Arial" w:hAnsi="Arial" w:eastAsia="Times New Roman" w:cs="Arial"/>
      <w:sz w:val="20"/>
      <w:szCs w:val="18"/>
      <w:lang w:eastAsia="es-ES" w:bidi="ks-Deva"/>
    </w:rPr>
  </w:style>
  <w:style w:type="character" w:styleId="Hyperlink">
    <w:name w:val="Hyperlink"/>
    <w:uiPriority w:val="99"/>
    <w:unhideWhenUsed/>
    <w:rsid w:val="00fc40b3"/>
    <w:rPr>
      <w:color w:val="0000FF"/>
      <w:u w:val="single"/>
    </w:rPr>
  </w:style>
  <w:style w:type="character" w:styleId="PlaceholderText">
    <w:name w:val="Placeholder Text"/>
    <w:basedOn w:val="DefaultParagraphFont"/>
    <w:uiPriority w:val="99"/>
    <w:semiHidden/>
    <w:qFormat/>
    <w:rsid w:val="00fc40b3"/>
    <w:rPr>
      <w:color w:val="808080"/>
    </w:rPr>
  </w:style>
  <w:style w:type="character" w:styleId="SubttuloCar" w:customStyle="1">
    <w:name w:val="Subtítulo Car"/>
    <w:basedOn w:val="DefaultParagraphFont"/>
    <w:uiPriority w:val="11"/>
    <w:qFormat/>
    <w:rsid w:val="00fc40b3"/>
    <w:rPr>
      <w:rFonts w:ascii="Arial" w:hAnsi="Arial" w:eastAsia="" w:cs="Arial" w:eastAsiaTheme="majorEastAsia"/>
      <w:b/>
      <w:i/>
      <w:iCs/>
      <w:color w:themeColor="text1" w:val="000000"/>
      <w:spacing w:val="15"/>
      <w:sz w:val="28"/>
      <w:szCs w:val="24"/>
      <w:lang w:val="es-ES_tradnl" w:eastAsia="es-ES"/>
    </w:rPr>
  </w:style>
  <w:style w:type="character" w:styleId="TextoindependienteCar" w:customStyle="1">
    <w:name w:val="Texto independiente Car"/>
    <w:basedOn w:val="DefaultParagraphFont"/>
    <w:uiPriority w:val="99"/>
    <w:qFormat/>
    <w:rsid w:val="00fc40b3"/>
    <w:rPr>
      <w:rFonts w:ascii="Arial" w:hAnsi="Arial" w:eastAsia="Times New Roman" w:cs="Arial"/>
      <w:sz w:val="20"/>
      <w:szCs w:val="18"/>
      <w:lang w:eastAsia="es-ES" w:bidi="ks-Deva"/>
    </w:rPr>
  </w:style>
  <w:style w:type="character" w:styleId="TextoindependienteprimerasangraCar" w:customStyle="1">
    <w:name w:val="Texto independiente primera sangría Car"/>
    <w:basedOn w:val="TextoindependienteCar"/>
    <w:uiPriority w:val="99"/>
    <w:semiHidden/>
    <w:qFormat/>
    <w:rsid w:val="00fc40b3"/>
    <w:rPr>
      <w:rFonts w:ascii="Arial" w:hAnsi="Arial" w:eastAsia="Times New Roman" w:cs="Arial"/>
      <w:sz w:val="20"/>
      <w:szCs w:val="18"/>
      <w:lang w:eastAsia="es-ES" w:bidi="ks-Deva"/>
    </w:rPr>
  </w:style>
  <w:style w:type="character" w:styleId="Licitacions1Car" w:customStyle="1">
    <w:name w:val="licitacions1 Car"/>
    <w:link w:val="Licitacions1"/>
    <w:qFormat/>
    <w:rsid w:val="00fc40b3"/>
    <w:rPr>
      <w:rFonts w:ascii="Arial Narrow" w:hAnsi="Arial Narrow" w:eastAsia="SimSun" w:cs="Times New Roman"/>
      <w:b/>
      <w:iCs/>
      <w:color w:val="000000"/>
      <w:spacing w:val="15"/>
      <w:kern w:val="2"/>
      <w:sz w:val="28"/>
      <w:szCs w:val="24"/>
      <w:u w:val="single"/>
      <w:lang w:val="ca-ES" w:eastAsia="es-ES"/>
    </w:rPr>
  </w:style>
  <w:style w:type="character" w:styleId="Pagenumber">
    <w:name w:val="page number"/>
    <w:qFormat/>
    <w:rsid w:val="00fc40b3"/>
    <w:rPr/>
  </w:style>
  <w:style w:type="character" w:styleId="Textoindependiente2Car" w:customStyle="1">
    <w:name w:val="Texto independiente 2 Car"/>
    <w:basedOn w:val="DefaultParagraphFont"/>
    <w:link w:val="BodyText2"/>
    <w:uiPriority w:val="99"/>
    <w:qFormat/>
    <w:rsid w:val="00fc40b3"/>
    <w:rPr>
      <w:rFonts w:ascii="Arial" w:hAnsi="Arial" w:eastAsia="Times New Roman" w:cs="Times New Roman"/>
      <w:szCs w:val="20"/>
      <w:lang w:val="es-ES_tradnl" w:eastAsia="es-ES"/>
    </w:rPr>
  </w:style>
  <w:style w:type="character" w:styleId="NormalindexCar" w:customStyle="1">
    <w:name w:val="Normal_index Car"/>
    <w:link w:val="Normalindex"/>
    <w:qFormat/>
    <w:locked/>
    <w:rsid w:val="00fc40b3"/>
    <w:rPr>
      <w:rFonts w:ascii="Arial" w:hAnsi="Arial" w:eastAsia="Calibri" w:cs="Arial"/>
      <w:sz w:val="20"/>
      <w:szCs w:val="20"/>
      <w:lang w:eastAsia="es-ES"/>
    </w:rPr>
  </w:style>
  <w:style w:type="character" w:styleId="FollowedHyperlink">
    <w:name w:val="FollowedHyperlink"/>
    <w:rsid w:val="00fc40b3"/>
    <w:rPr>
      <w:color w:val="800080"/>
      <w:u w:val="single"/>
    </w:rPr>
  </w:style>
  <w:style w:type="character" w:styleId="MapadeldocumentoCar" w:customStyle="1">
    <w:name w:val="Mapa del documento Car"/>
    <w:basedOn w:val="DefaultParagraphFont"/>
    <w:link w:val="DocumentMap"/>
    <w:uiPriority w:val="99"/>
    <w:semiHidden/>
    <w:qFormat/>
    <w:rsid w:val="00fc40b3"/>
    <w:rPr>
      <w:rFonts w:ascii="Tahoma" w:hAnsi="Tahoma" w:eastAsia="Times New Roman" w:cs="Times New Roman"/>
      <w:sz w:val="20"/>
      <w:szCs w:val="20"/>
      <w:shd w:fill="000080" w:val="clear"/>
      <w:lang w:eastAsia="es-ES"/>
    </w:rPr>
  </w:style>
  <w:style w:type="character" w:styleId="MapadeldocumentoCar1" w:customStyle="1">
    <w:name w:val="Mapa del documento Car1"/>
    <w:basedOn w:val="DefaultParagraphFont"/>
    <w:uiPriority w:val="99"/>
    <w:semiHidden/>
    <w:qFormat/>
    <w:rsid w:val="00fc40b3"/>
    <w:rPr>
      <w:rFonts w:ascii="Segoe UI" w:hAnsi="Segoe UI" w:eastAsia="Times New Roman" w:cs="Segoe UI"/>
      <w:sz w:val="16"/>
      <w:szCs w:val="14"/>
      <w:lang w:eastAsia="es-ES" w:bidi="ks-Deva"/>
    </w:rPr>
  </w:style>
  <w:style w:type="character" w:styleId="Sangra2detindependienteCar" w:customStyle="1">
    <w:name w:val="Sangría 2 de t. independiente Car"/>
    <w:basedOn w:val="DefaultParagraphFont"/>
    <w:link w:val="BodyTextIndent2"/>
    <w:uiPriority w:val="99"/>
    <w:qFormat/>
    <w:rsid w:val="00fc40b3"/>
    <w:rPr>
      <w:rFonts w:ascii="Arial" w:hAnsi="Arial" w:eastAsia="Times New Roman" w:cs="Times New Roman"/>
      <w:color w:val="0000FF"/>
      <w:sz w:val="20"/>
      <w:szCs w:val="20"/>
      <w:lang w:eastAsia="es-ES"/>
    </w:rPr>
  </w:style>
  <w:style w:type="character" w:styleId="SaludoCar" w:customStyle="1">
    <w:name w:val="Saludo Car"/>
    <w:basedOn w:val="DefaultParagraphFont"/>
    <w:uiPriority w:val="99"/>
    <w:qFormat/>
    <w:rsid w:val="00fc40b3"/>
    <w:rPr>
      <w:rFonts w:ascii="Arial" w:hAnsi="Arial" w:eastAsia="Times New Roman" w:cs="Times New Roman"/>
      <w:sz w:val="20"/>
      <w:szCs w:val="20"/>
      <w:lang w:eastAsia="es-ES"/>
    </w:rPr>
  </w:style>
  <w:style w:type="character" w:styleId="HTMLTypewriter">
    <w:name w:val="HTML Typewriter"/>
    <w:qFormat/>
    <w:rsid w:val="00fc40b3"/>
    <w:rPr>
      <w:rFonts w:ascii="Courier New" w:hAnsi="Courier New" w:eastAsia="Times New Roman" w:cs="Courier New"/>
      <w:sz w:val="20"/>
      <w:szCs w:val="20"/>
    </w:rPr>
  </w:style>
  <w:style w:type="character" w:styleId="Apple-converted-space" w:customStyle="1">
    <w:name w:val="apple-converted-space"/>
    <w:qFormat/>
    <w:rsid w:val="00fc40b3"/>
    <w:rPr/>
  </w:style>
  <w:style w:type="character" w:styleId="NormalindexCarCar" w:customStyle="1">
    <w:name w:val="Normal_index Car Car"/>
    <w:qFormat/>
    <w:locked/>
    <w:rsid w:val="00fc40b3"/>
    <w:rPr>
      <w:rFonts w:ascii="Arial" w:hAnsi="Arial"/>
      <w:lang w:val="es-ES_tradnl"/>
    </w:rPr>
  </w:style>
  <w:style w:type="character" w:styleId="Veronica" w:customStyle="1">
    <w:name w:val="Veronica"/>
    <w:semiHidden/>
    <w:qFormat/>
    <w:rsid w:val="00e94692"/>
    <w:rPr>
      <w:rFonts w:ascii="Arial" w:hAnsi="Arial" w:cs="Arial"/>
      <w:color w:val="auto"/>
      <w:sz w:val="20"/>
      <w:szCs w:val="20"/>
    </w:rPr>
  </w:style>
  <w:style w:type="character" w:styleId="TtuloCar" w:customStyle="1">
    <w:name w:val="Título Car"/>
    <w:basedOn w:val="DefaultParagraphFont"/>
    <w:uiPriority w:val="10"/>
    <w:qFormat/>
    <w:rsid w:val="00e94692"/>
    <w:rPr>
      <w:rFonts w:ascii="Arial" w:hAnsi="Arial" w:eastAsia="Times New Roman" w:cs="Times New Roman"/>
      <w:b/>
      <w:bCs/>
      <w:caps/>
      <w:kern w:val="2"/>
      <w:szCs w:val="32"/>
    </w:rPr>
  </w:style>
  <w:style w:type="character" w:styleId="Ttulo1Car1" w:customStyle="1">
    <w:name w:val="Título 1 Car1"/>
    <w:basedOn w:val="DefaultParagraphFont"/>
    <w:qFormat/>
    <w:rsid w:val="00f135c4"/>
    <w:rPr>
      <w:rFonts w:ascii="Calibri Light" w:hAnsi="Calibri Light" w:eastAsia="" w:cs="" w:asciiTheme="majorHAnsi" w:cstheme="majorBidi" w:eastAsiaTheme="majorEastAsia" w:hAnsiTheme="majorHAnsi"/>
      <w:color w:themeColor="accent1" w:themeShade="bf" w:val="2E74B5"/>
      <w:sz w:val="32"/>
      <w:szCs w:val="29"/>
      <w:lang w:eastAsia="es-ES" w:bidi="ks-Deva"/>
    </w:rPr>
  </w:style>
  <w:style w:type="character" w:styleId="Licitacion3Car" w:customStyle="1">
    <w:name w:val="licitacion3 Car"/>
    <w:basedOn w:val="DefaultParagraphFont"/>
    <w:link w:val="Licitacion3"/>
    <w:qFormat/>
    <w:rsid w:val="0013500f"/>
    <w:rPr>
      <w:rFonts w:ascii="Arial Narrow" w:hAnsi="Arial Narrow" w:eastAsia="Times New Roman" w:cs="Times New Roman"/>
      <w:b/>
      <w:color w:val="00000A"/>
      <w:kern w:val="2"/>
      <w:sz w:val="24"/>
      <w:szCs w:val="24"/>
      <w:u w:val="single"/>
      <w:shd w:fill="FFFFFF" w:val="clear"/>
      <w:lang w:eastAsia="es-ES"/>
    </w:rPr>
  </w:style>
  <w:style w:type="character" w:styleId="Tl8wme" w:customStyle="1">
    <w:name w:val="tl8wme"/>
    <w:basedOn w:val="DefaultParagraphFont"/>
    <w:qFormat/>
    <w:rsid w:val="007b333a"/>
    <w:rPr/>
  </w:style>
  <w:style w:type="character" w:styleId="TextonotaalfinalCar" w:customStyle="1">
    <w:name w:val="Texto nota al final Car"/>
    <w:basedOn w:val="DefaultParagraphFont"/>
    <w:uiPriority w:val="99"/>
    <w:semiHidden/>
    <w:qFormat/>
    <w:rsid w:val="00534d7d"/>
    <w:rPr>
      <w:rFonts w:ascii="Arial" w:hAnsi="Arial" w:eastAsia="Times New Roman" w:cs="Arial"/>
      <w:sz w:val="20"/>
      <w:szCs w:val="18"/>
      <w:lang w:eastAsia="es-ES" w:bidi="ks-Deva"/>
    </w:rPr>
  </w:style>
  <w:style w:type="character" w:styleId="Caracteresdenotafinal">
    <w:name w:val="Caracteres de nota final"/>
    <w:basedOn w:val="DefaultParagraphFont"/>
    <w:uiPriority w:val="99"/>
    <w:semiHidden/>
    <w:unhideWhenUsed/>
    <w:qFormat/>
    <w:rsid w:val="00534d7d"/>
    <w:rPr>
      <w:vertAlign w:val="superscript"/>
    </w:rPr>
  </w:style>
  <w:style w:type="character" w:styleId="EndnoteReference">
    <w:name w:val="Endnote Reference"/>
    <w:rPr>
      <w:vertAlign w:val="superscript"/>
    </w:rPr>
  </w:style>
  <w:style w:type="character" w:styleId="AqualogyVieta1Car" w:customStyle="1">
    <w:name w:val="Aqualogy Viñeta 1 Car"/>
    <w:link w:val="AqualogyVieta1"/>
    <w:qFormat/>
    <w:rsid w:val="00fa5690"/>
    <w:rPr>
      <w:rFonts w:ascii="Gill Sans" w:hAnsi="Gill Sans" w:eastAsia="Times New Roman" w:cs="Times New Roman"/>
      <w:szCs w:val="24"/>
      <w:lang w:val="es-ES_tradnl" w:eastAsia="es-ES"/>
    </w:rPr>
  </w:style>
  <w:style w:type="character" w:styleId="TextocomentarioCar1" w:customStyle="1">
    <w:name w:val="Texto comentario Car1"/>
    <w:uiPriority w:val="99"/>
    <w:qFormat/>
    <w:rsid w:val="0088446f"/>
    <w:rPr>
      <w:rFonts w:ascii="Arial" w:hAnsi="Arial" w:eastAsia="Times New Roman"/>
      <w:color w:val="00000A"/>
      <w:kern w:val="2"/>
    </w:rPr>
  </w:style>
  <w:style w:type="character" w:styleId="ClausuladoCar" w:customStyle="1">
    <w:name w:val="Clausulado Car"/>
    <w:basedOn w:val="DefaultParagraphFont"/>
    <w:link w:val="Clausulado"/>
    <w:qFormat/>
    <w:rsid w:val="0071734e"/>
    <w:rPr>
      <w:rFonts w:ascii="Book Antiqua" w:hAnsi="Book Antiqua" w:eastAsia="Times New Roman" w:cs="Times New Roman"/>
      <w:sz w:val="24"/>
      <w:szCs w:val="24"/>
      <w:lang w:eastAsia="es-ES"/>
    </w:rPr>
  </w:style>
  <w:style w:type="character" w:styleId="Mencinsinresolver1" w:customStyle="1">
    <w:name w:val="Mención sin resolver1"/>
    <w:basedOn w:val="DefaultParagraphFont"/>
    <w:uiPriority w:val="99"/>
    <w:semiHidden/>
    <w:unhideWhenUsed/>
    <w:qFormat/>
    <w:rsid w:val="006840fb"/>
    <w:rPr>
      <w:color w:val="808080"/>
      <w:shd w:fill="E6E6E6" w:val="clear"/>
    </w:rPr>
  </w:style>
  <w:style w:type="character" w:styleId="UnresolvedMention">
    <w:name w:val="Unresolved Mention"/>
    <w:basedOn w:val="DefaultParagraphFont"/>
    <w:uiPriority w:val="99"/>
    <w:unhideWhenUsed/>
    <w:qFormat/>
    <w:rsid w:val="00d90c8d"/>
    <w:rPr>
      <w:color w:val="605E5C"/>
      <w:shd w:fill="E1DFDD" w:val="clear"/>
    </w:rPr>
  </w:style>
  <w:style w:type="character" w:styleId="Mention">
    <w:name w:val="Mention"/>
    <w:basedOn w:val="DefaultParagraphFont"/>
    <w:uiPriority w:val="99"/>
    <w:unhideWhenUsed/>
    <w:qFormat/>
    <w:rsid w:val="00664f30"/>
    <w:rPr>
      <w:color w:val="2B579A"/>
      <w:shd w:fill="E1DFDD" w:val="clear"/>
    </w:rPr>
  </w:style>
  <w:style w:type="character" w:styleId="Normaltextrun" w:customStyle="1">
    <w:name w:val="normaltextrun"/>
    <w:basedOn w:val="DefaultParagraphFont"/>
    <w:qFormat/>
    <w:rsid w:val="00297e22"/>
    <w:rPr/>
  </w:style>
  <w:style w:type="character" w:styleId="Findhit" w:customStyle="1">
    <w:name w:val="findhit"/>
    <w:basedOn w:val="DefaultParagraphFont"/>
    <w:qFormat/>
    <w:rsid w:val="00297e22"/>
    <w:rPr/>
  </w:style>
  <w:style w:type="character" w:styleId="Eop" w:customStyle="1">
    <w:name w:val="eop"/>
    <w:basedOn w:val="DefaultParagraphFont"/>
    <w:qFormat/>
    <w:rsid w:val="00297e22"/>
    <w:rPr/>
  </w:style>
  <w:style w:type="character" w:styleId="Enlacedelndice">
    <w:name w:val="Enlace del índice"/>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1"/>
    <w:link w:val="TextoindependienteCar"/>
    <w:uiPriority w:val="99"/>
    <w:unhideWhenUsed/>
    <w:rsid w:val="00fc40b3"/>
    <w:pPr>
      <w:spacing w:before="0" w:after="120"/>
    </w:pPr>
    <w:rPr>
      <w:szCs w:val="18"/>
    </w:rPr>
  </w:style>
  <w:style w:type="paragraph" w:styleId="List">
    <w:name w:val="List"/>
    <w:basedOn w:val="Normal1"/>
    <w:uiPriority w:val="99"/>
    <w:rsid w:val="00fc40b3"/>
    <w:pPr>
      <w:widowControl/>
      <w:ind w:hanging="283" w:left="283"/>
      <w:jc w:val="both"/>
    </w:pPr>
    <w:rPr>
      <w:rFonts w:cs="Times New Roman"/>
      <w:lang w:bidi="ar-SA"/>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default="1">
    <w:name w:val="normal1"/>
    <w:qFormat/>
    <w:pPr>
      <w:widowControl w:val="false"/>
      <w:bidi w:val="0"/>
      <w:spacing w:before="0" w:after="0"/>
      <w:jc w:val="left"/>
    </w:pPr>
    <w:rPr>
      <w:rFonts w:ascii="Book Antiqua" w:hAnsi="Book Antiqua" w:eastAsia="Book Antiqua" w:cs="Book Antiqua"/>
      <w:color w:val="auto"/>
      <w:kern w:val="0"/>
      <w:sz w:val="24"/>
      <w:szCs w:val="24"/>
      <w:lang w:val="es-ES" w:eastAsia="zh-CN" w:bidi="hi-IN"/>
    </w:rPr>
  </w:style>
  <w:style w:type="paragraph" w:styleId="Title">
    <w:name w:val="Title"/>
    <w:basedOn w:val="Normal1"/>
    <w:next w:val="Normal1"/>
    <w:qFormat/>
    <w:pPr>
      <w:widowControl/>
      <w:spacing w:lineRule="auto" w:line="278" w:before="360" w:after="600"/>
      <w:jc w:val="center"/>
    </w:pPr>
    <w:rPr>
      <w:b/>
      <w:bCs/>
      <w:smallCaps/>
      <w:sz w:val="22"/>
      <w:szCs w:val="22"/>
    </w:rPr>
  </w:style>
  <w:style w:type="paragraph" w:styleId="Cabeceraypie">
    <w:name w:val="Cabecera y pie"/>
    <w:basedOn w:val="Normal"/>
    <w:qFormat/>
    <w:pPr/>
    <w:rPr/>
  </w:style>
  <w:style w:type="paragraph" w:styleId="Header">
    <w:name w:val="Header"/>
    <w:basedOn w:val="Normal1"/>
    <w:link w:val="EncabezadoCar"/>
    <w:uiPriority w:val="99"/>
    <w:unhideWhenUsed/>
    <w:rsid w:val="00fc40b3"/>
    <w:pPr>
      <w:tabs>
        <w:tab w:val="clear" w:pos="720"/>
        <w:tab w:val="center" w:pos="4252" w:leader="none"/>
        <w:tab w:val="right" w:pos="8504" w:leader="none"/>
      </w:tabs>
    </w:pPr>
    <w:rPr>
      <w:szCs w:val="18"/>
    </w:rPr>
  </w:style>
  <w:style w:type="paragraph" w:styleId="Footer">
    <w:name w:val="Footer"/>
    <w:basedOn w:val="Normal1"/>
    <w:link w:val="PiedepginaCar"/>
    <w:uiPriority w:val="99"/>
    <w:unhideWhenUsed/>
    <w:rsid w:val="00fc40b3"/>
    <w:pPr>
      <w:tabs>
        <w:tab w:val="clear" w:pos="720"/>
        <w:tab w:val="center" w:pos="4252" w:leader="none"/>
        <w:tab w:val="right" w:pos="8504" w:leader="none"/>
      </w:tabs>
    </w:pPr>
    <w:rPr>
      <w:szCs w:val="18"/>
    </w:rPr>
  </w:style>
  <w:style w:type="paragraph" w:styleId="Annotationtext">
    <w:name w:val="annotation text"/>
    <w:basedOn w:val="Normal1"/>
    <w:link w:val="TextocomentarioCar"/>
    <w:uiPriority w:val="99"/>
    <w:unhideWhenUsed/>
    <w:qFormat/>
    <w:rsid w:val="00fc40b3"/>
    <w:pPr/>
    <w:rPr>
      <w:szCs w:val="18"/>
    </w:rPr>
  </w:style>
  <w:style w:type="paragraph" w:styleId="Annotationsubject">
    <w:name w:val="annotation subject"/>
    <w:basedOn w:val="Annotationtext"/>
    <w:next w:val="Annotationtext"/>
    <w:link w:val="AsuntodelcomentarioCar"/>
    <w:uiPriority w:val="99"/>
    <w:semiHidden/>
    <w:unhideWhenUsed/>
    <w:qFormat/>
    <w:rsid w:val="00fc40b3"/>
    <w:pPr/>
    <w:rPr>
      <w:b/>
      <w:bCs/>
    </w:rPr>
  </w:style>
  <w:style w:type="paragraph" w:styleId="BalloonText">
    <w:name w:val="Balloon Text"/>
    <w:basedOn w:val="Normal1"/>
    <w:link w:val="TextodegloboCar"/>
    <w:uiPriority w:val="99"/>
    <w:semiHidden/>
    <w:unhideWhenUsed/>
    <w:qFormat/>
    <w:rsid w:val="00fc40b3"/>
    <w:pPr/>
    <w:rPr>
      <w:rFonts w:ascii="Tahoma" w:hAnsi="Tahoma" w:cs="Tahoma"/>
      <w:sz w:val="16"/>
      <w:szCs w:val="14"/>
    </w:rPr>
  </w:style>
  <w:style w:type="paragraph" w:styleId="FootnoteText">
    <w:name w:val="Footnote Text"/>
    <w:basedOn w:val="Normal1"/>
    <w:link w:val="TextonotapieCar"/>
    <w:uiPriority w:val="99"/>
    <w:semiHidden/>
    <w:unhideWhenUsed/>
    <w:rsid w:val="00fc40b3"/>
    <w:pPr/>
    <w:rPr>
      <w:szCs w:val="18"/>
    </w:rPr>
  </w:style>
  <w:style w:type="paragraph" w:styleId="ListParagraph">
    <w:name w:val="List Paragraph"/>
    <w:basedOn w:val="Normal1"/>
    <w:link w:val="PrrafodelistaCar"/>
    <w:uiPriority w:val="34"/>
    <w:qFormat/>
    <w:rsid w:val="00fc40b3"/>
    <w:pPr>
      <w:spacing w:before="0" w:after="0"/>
      <w:ind w:left="720"/>
      <w:contextualSpacing/>
    </w:pPr>
    <w:rPr>
      <w:szCs w:val="18"/>
    </w:rPr>
  </w:style>
  <w:style w:type="paragraph" w:styleId="BodyText3">
    <w:name w:val="Body Text 3"/>
    <w:basedOn w:val="Normal1"/>
    <w:link w:val="Textoindependiente3Car1"/>
    <w:uiPriority w:val="99"/>
    <w:qFormat/>
    <w:rsid w:val="00fc40b3"/>
    <w:pPr>
      <w:widowControl/>
      <w:jc w:val="both"/>
    </w:pPr>
    <w:rPr>
      <w:rFonts w:ascii="Arial Narrow" w:hAnsi="Arial Narrow" w:cs="Arial Narrow"/>
      <w:lang w:val="es-ES_tradnl" w:bidi="ar-SA"/>
    </w:rPr>
  </w:style>
  <w:style w:type="paragraph" w:styleId="BodyTextIndent">
    <w:name w:val="Body Text Indent"/>
    <w:basedOn w:val="Normal1"/>
    <w:link w:val="SangradetextonormalCar"/>
    <w:uiPriority w:val="99"/>
    <w:unhideWhenUsed/>
    <w:rsid w:val="00fc40b3"/>
    <w:pPr>
      <w:spacing w:before="0" w:after="120"/>
      <w:ind w:left="283"/>
    </w:pPr>
    <w:rPr>
      <w:szCs w:val="18"/>
    </w:rPr>
  </w:style>
  <w:style w:type="paragraph" w:styleId="Inicial" w:customStyle="1">
    <w:name w:val="Inicial"/>
    <w:basedOn w:val="Normal1"/>
    <w:uiPriority w:val="99"/>
    <w:qFormat/>
    <w:rsid w:val="00fc40b3"/>
    <w:pPr>
      <w:widowControl/>
      <w:spacing w:lineRule="auto" w:line="264" w:before="0" w:after="240"/>
      <w:ind w:left="992"/>
      <w:jc w:val="both"/>
    </w:pPr>
    <w:rPr>
      <w:rFonts w:ascii="Times New Roman" w:hAnsi="Times New Roman" w:eastAsia="Calibri" w:cs="Times New Roman"/>
      <w:szCs w:val="24"/>
      <w:lang w:eastAsia="en-US" w:bidi="ar-SA"/>
    </w:rPr>
  </w:style>
  <w:style w:type="paragraph" w:styleId="Revision">
    <w:name w:val="Revision"/>
    <w:uiPriority w:val="99"/>
    <w:semiHidden/>
    <w:qFormat/>
    <w:rsid w:val="00fc40b3"/>
    <w:pPr>
      <w:widowControl w:val="false"/>
      <w:bidi w:val="0"/>
      <w:spacing w:lineRule="auto" w:line="240" w:before="0" w:after="0"/>
      <w:jc w:val="left"/>
    </w:pPr>
    <w:rPr>
      <w:rFonts w:ascii="Arial" w:hAnsi="Arial" w:eastAsia="Times New Roman" w:cs="Arial"/>
      <w:color w:val="auto"/>
      <w:kern w:val="0"/>
      <w:sz w:val="20"/>
      <w:szCs w:val="18"/>
      <w:lang w:eastAsia="es-ES" w:bidi="ks-Deva" w:val="es-ES"/>
    </w:rPr>
  </w:style>
  <w:style w:type="paragraph" w:styleId="BodyTextFirstIndent">
    <w:name w:val="Body Text First Indent"/>
    <w:basedOn w:val="BodyText"/>
    <w:link w:val="TextoindependienteprimerasangraCar"/>
    <w:uiPriority w:val="99"/>
    <w:semiHidden/>
    <w:unhideWhenUsed/>
    <w:rsid w:val="00fc40b3"/>
    <w:pPr>
      <w:spacing w:before="0" w:after="0"/>
      <w:ind w:firstLine="360"/>
    </w:pPr>
    <w:rPr/>
  </w:style>
  <w:style w:type="paragraph" w:styleId="IndexHeading">
    <w:name w:val="Index Heading"/>
    <w:basedOn w:val="Ttulo"/>
    <w:pPr/>
    <w:rPr/>
  </w:style>
  <w:style w:type="paragraph" w:styleId="TOCHeading">
    <w:name w:val="TOC Heading"/>
    <w:basedOn w:val="IndexHeading"/>
    <w:next w:val="Normal1"/>
    <w:uiPriority w:val="39"/>
    <w:unhideWhenUsed/>
    <w:qFormat/>
    <w:rsid w:val="00fc40b3"/>
    <w:pPr>
      <w:keepLines/>
      <w:spacing w:lineRule="auto" w:line="259" w:before="240" w:after="0"/>
    </w:pPr>
    <w:rPr>
      <w:rFonts w:ascii="Calibri Light" w:hAnsi="Calibri Light" w:eastAsia="" w:cs="" w:asciiTheme="majorHAnsi" w:cstheme="majorBidi" w:eastAsiaTheme="majorEastAsia" w:hAnsiTheme="majorHAnsi"/>
      <w:b w:val="false"/>
      <w:caps w:val="false"/>
      <w:smallCaps w:val="false"/>
      <w:color w:themeColor="accent1" w:themeShade="bf" w:val="2E74B5"/>
      <w:kern w:val="0"/>
      <w:sz w:val="32"/>
      <w:szCs w:val="32"/>
      <w:lang w:val="es-ES"/>
    </w:rPr>
  </w:style>
  <w:style w:type="paragraph" w:styleId="TOC2">
    <w:name w:val="TOC 2"/>
    <w:basedOn w:val="Normal1"/>
    <w:next w:val="Normal1"/>
    <w:autoRedefine/>
    <w:uiPriority w:val="39"/>
    <w:unhideWhenUsed/>
    <w:rsid w:val="00093e09"/>
    <w:pPr>
      <w:widowControl/>
      <w:tabs>
        <w:tab w:val="clear" w:pos="720"/>
        <w:tab w:val="right" w:pos="8494" w:leader="dot"/>
      </w:tabs>
      <w:spacing w:lineRule="auto" w:line="259" w:before="0" w:after="100"/>
      <w:ind w:left="220"/>
    </w:pPr>
    <w:rPr>
      <w:rFonts w:ascii="Calibri" w:hAnsi="Calibri" w:eastAsia="" w:cs="Times New Roman" w:asciiTheme="minorHAnsi" w:eastAsiaTheme="minorEastAsia" w:hAnsiTheme="minorHAnsi"/>
      <w:sz w:val="22"/>
      <w:szCs w:val="22"/>
      <w:lang w:bidi="ar-SA"/>
    </w:rPr>
  </w:style>
  <w:style w:type="paragraph" w:styleId="TOC1">
    <w:name w:val="TOC 1"/>
    <w:basedOn w:val="Normal1"/>
    <w:next w:val="Normal1"/>
    <w:autoRedefine/>
    <w:uiPriority w:val="39"/>
    <w:unhideWhenUsed/>
    <w:rsid w:val="00fa1370"/>
    <w:pPr>
      <w:widowControl/>
      <w:tabs>
        <w:tab w:val="clear" w:pos="720"/>
        <w:tab w:val="right" w:pos="8494" w:leader="dot"/>
      </w:tabs>
      <w:spacing w:lineRule="auto" w:line="259" w:before="0" w:after="100"/>
    </w:pPr>
    <w:rPr>
      <w:rFonts w:ascii="Calibri" w:hAnsi="Calibri" w:eastAsia="" w:cs="Times New Roman" w:asciiTheme="minorHAnsi" w:eastAsiaTheme="minorEastAsia" w:hAnsiTheme="minorHAnsi"/>
      <w:sz w:val="22"/>
      <w:szCs w:val="22"/>
      <w:lang w:bidi="ar-SA"/>
    </w:rPr>
  </w:style>
  <w:style w:type="paragraph" w:styleId="TOC3">
    <w:name w:val="TOC 3"/>
    <w:basedOn w:val="Normal1"/>
    <w:next w:val="Normal1"/>
    <w:autoRedefine/>
    <w:uiPriority w:val="39"/>
    <w:unhideWhenUsed/>
    <w:rsid w:val="00fc40b3"/>
    <w:pPr>
      <w:widowControl/>
      <w:spacing w:lineRule="auto" w:line="259" w:before="0" w:after="100"/>
      <w:ind w:left="440"/>
    </w:pPr>
    <w:rPr>
      <w:rFonts w:ascii="Calibri" w:hAnsi="Calibri" w:eastAsia="" w:cs="Times New Roman" w:asciiTheme="minorHAnsi" w:eastAsiaTheme="minorEastAsia" w:hAnsiTheme="minorHAnsi"/>
      <w:sz w:val="22"/>
      <w:szCs w:val="22"/>
      <w:lang w:bidi="ar-SA"/>
    </w:rPr>
  </w:style>
  <w:style w:type="paragraph" w:styleId="Licitacions1" w:customStyle="1">
    <w:name w:val="licitacions1"/>
    <w:basedOn w:val="Normal1"/>
    <w:link w:val="Licitacions1Car"/>
    <w:qFormat/>
    <w:rsid w:val="00fc40b3"/>
    <w:pPr>
      <w:pageBreakBefore/>
      <w:suppressAutoHyphens w:val="true"/>
      <w:jc w:val="center"/>
    </w:pPr>
    <w:rPr>
      <w:rFonts w:ascii="Arial Narrow" w:hAnsi="Arial Narrow" w:eastAsia="SimSun" w:cs="Times New Roman"/>
      <w:b/>
      <w:iCs/>
      <w:color w:val="000000"/>
      <w:spacing w:val="15"/>
      <w:kern w:val="2"/>
      <w:sz w:val="28"/>
      <w:szCs w:val="24"/>
      <w:u w:val="single"/>
      <w:lang w:val="ca-ES" w:bidi="ar-SA"/>
    </w:rPr>
  </w:style>
  <w:style w:type="paragraph" w:styleId="BodyText2">
    <w:name w:val="Body Text 2"/>
    <w:basedOn w:val="Normal1"/>
    <w:link w:val="Textoindependiente2Car"/>
    <w:uiPriority w:val="99"/>
    <w:qFormat/>
    <w:rsid w:val="00fc40b3"/>
    <w:pPr>
      <w:widowControl/>
      <w:jc w:val="both"/>
    </w:pPr>
    <w:rPr>
      <w:rFonts w:cs="Times New Roman"/>
      <w:sz w:val="22"/>
      <w:lang w:val="es-ES_tradnl" w:bidi="ar-SA"/>
    </w:rPr>
  </w:style>
  <w:style w:type="paragraph" w:styleId="Normalindex" w:customStyle="1">
    <w:name w:val="Normal_index"/>
    <w:basedOn w:val="Normal1"/>
    <w:link w:val="NormalindexCar"/>
    <w:qFormat/>
    <w:rsid w:val="00fc40b3"/>
    <w:pPr>
      <w:widowControl/>
      <w:spacing w:lineRule="exact" w:line="240"/>
    </w:pPr>
    <w:rPr>
      <w:rFonts w:eastAsia="Calibri"/>
      <w:lang w:bidi="ar-SA"/>
    </w:rPr>
  </w:style>
  <w:style w:type="paragraph" w:styleId="CharCharCharCharCharCharCharCharCharCharCharCharCharCharCharCharCharChar" w:customStyle="1">
    <w:name w:val="Char Char Char Char Char Char Char Char Char Char Char Char Char Char Char Char Char Char"/>
    <w:basedOn w:val="Normal1"/>
    <w:uiPriority w:val="99"/>
    <w:qFormat/>
    <w:rsid w:val="00fc40b3"/>
    <w:pPr>
      <w:widowControl/>
      <w:spacing w:lineRule="exact" w:line="240" w:before="0" w:after="160"/>
    </w:pPr>
    <w:rPr>
      <w:rFonts w:ascii="Verdana" w:hAnsi="Verdana" w:cs="Times New Roman"/>
      <w:lang w:val="en-US" w:eastAsia="en-US" w:bidi="ar-SA"/>
    </w:rPr>
  </w:style>
  <w:style w:type="paragraph" w:styleId="Textoindependiente21" w:customStyle="1">
    <w:name w:val="Texto independiente 21"/>
    <w:basedOn w:val="Normal1"/>
    <w:uiPriority w:val="99"/>
    <w:qFormat/>
    <w:rsid w:val="00fc40b3"/>
    <w:pPr>
      <w:widowControl/>
      <w:tabs>
        <w:tab w:val="clear" w:pos="720"/>
        <w:tab w:val="left" w:pos="4963" w:leader="none"/>
      </w:tabs>
      <w:ind w:right="170"/>
      <w:jc w:val="both"/>
    </w:pPr>
    <w:rPr>
      <w:rFonts w:cs="Times New Roman"/>
      <w:lang w:bidi="ar-SA"/>
    </w:rPr>
  </w:style>
  <w:style w:type="paragraph" w:styleId="Default" w:customStyle="1">
    <w:name w:val="Default"/>
    <w:qFormat/>
    <w:rsid w:val="00fc40b3"/>
    <w:pPr>
      <w:widowControl w:val="false"/>
      <w:bidi w:val="0"/>
      <w:spacing w:lineRule="auto" w:line="240" w:before="0" w:after="0"/>
      <w:jc w:val="left"/>
    </w:pPr>
    <w:rPr>
      <w:rFonts w:ascii="Arial" w:hAnsi="Arial" w:eastAsia="Times New Roman" w:cs="Arial"/>
      <w:color w:val="000000"/>
      <w:kern w:val="0"/>
      <w:sz w:val="24"/>
      <w:szCs w:val="24"/>
      <w:lang w:val="es-ES" w:eastAsia="zh-CN" w:bidi="hi-IN"/>
    </w:rPr>
  </w:style>
  <w:style w:type="paragraph" w:styleId="Textodebloque1" w:customStyle="1">
    <w:name w:val="Texto de bloque1"/>
    <w:basedOn w:val="Normal1"/>
    <w:uiPriority w:val="99"/>
    <w:qFormat/>
    <w:rsid w:val="00fc40b3"/>
    <w:pPr>
      <w:widowControl/>
      <w:overflowPunct w:val="true"/>
    </w:pPr>
    <w:rPr>
      <w:rFonts w:ascii="Baskerville MT" w:hAnsi="Baskerville MT" w:cs="Times New Roman"/>
      <w:color w:val="000000"/>
      <w:lang w:val="en-GB" w:bidi="ar-SA"/>
    </w:rPr>
  </w:style>
  <w:style w:type="paragraph" w:styleId="TOC4">
    <w:name w:val="TOC 4"/>
    <w:basedOn w:val="Normal1"/>
    <w:next w:val="Normal1"/>
    <w:uiPriority w:val="39"/>
    <w:rsid w:val="00fc40b3"/>
    <w:pPr>
      <w:widowControl/>
      <w:ind w:left="660"/>
    </w:pPr>
    <w:rPr>
      <w:rFonts w:cs="Times New Roman"/>
      <w:szCs w:val="21"/>
      <w:lang w:bidi="ar-SA"/>
    </w:rPr>
  </w:style>
  <w:style w:type="paragraph" w:styleId="Tab1" w:customStyle="1">
    <w:name w:val="tab1"/>
    <w:basedOn w:val="Normal1"/>
    <w:uiPriority w:val="99"/>
    <w:qFormat/>
    <w:rsid w:val="00fc40b3"/>
    <w:pPr>
      <w:widowControl/>
      <w:ind w:hanging="426" w:left="426"/>
      <w:jc w:val="both"/>
    </w:pPr>
    <w:rPr>
      <w:rFonts w:cs="Times New Roman"/>
      <w:lang w:bidi="ar-SA"/>
    </w:rPr>
  </w:style>
  <w:style w:type="paragraph" w:styleId="TOC5">
    <w:name w:val="TOC 5"/>
    <w:basedOn w:val="Normal1"/>
    <w:next w:val="Normal1"/>
    <w:uiPriority w:val="39"/>
    <w:rsid w:val="00fc40b3"/>
    <w:pPr>
      <w:widowControl/>
      <w:ind w:left="880"/>
    </w:pPr>
    <w:rPr>
      <w:rFonts w:cs="Times New Roman"/>
      <w:szCs w:val="21"/>
      <w:lang w:bidi="ar-SA"/>
    </w:rPr>
  </w:style>
  <w:style w:type="paragraph" w:styleId="TOC6">
    <w:name w:val="TOC 6"/>
    <w:basedOn w:val="Normal1"/>
    <w:next w:val="Normal1"/>
    <w:uiPriority w:val="39"/>
    <w:rsid w:val="00fc40b3"/>
    <w:pPr>
      <w:widowControl/>
      <w:ind w:left="1100"/>
    </w:pPr>
    <w:rPr>
      <w:rFonts w:cs="Times New Roman"/>
      <w:szCs w:val="21"/>
      <w:lang w:bidi="ar-SA"/>
    </w:rPr>
  </w:style>
  <w:style w:type="paragraph" w:styleId="TOC7">
    <w:name w:val="TOC 7"/>
    <w:basedOn w:val="Normal1"/>
    <w:next w:val="Normal1"/>
    <w:uiPriority w:val="39"/>
    <w:rsid w:val="00fc40b3"/>
    <w:pPr>
      <w:widowControl/>
      <w:ind w:left="1320"/>
    </w:pPr>
    <w:rPr>
      <w:rFonts w:cs="Times New Roman"/>
      <w:szCs w:val="21"/>
      <w:lang w:bidi="ar-SA"/>
    </w:rPr>
  </w:style>
  <w:style w:type="paragraph" w:styleId="TOC8">
    <w:name w:val="TOC 8"/>
    <w:basedOn w:val="Normal1"/>
    <w:next w:val="Normal1"/>
    <w:uiPriority w:val="39"/>
    <w:rsid w:val="00fc40b3"/>
    <w:pPr>
      <w:widowControl/>
      <w:ind w:left="1540"/>
    </w:pPr>
    <w:rPr>
      <w:rFonts w:cs="Times New Roman"/>
      <w:szCs w:val="21"/>
      <w:lang w:bidi="ar-SA"/>
    </w:rPr>
  </w:style>
  <w:style w:type="paragraph" w:styleId="TOC9">
    <w:name w:val="TOC 9"/>
    <w:basedOn w:val="Normal1"/>
    <w:next w:val="Normal1"/>
    <w:uiPriority w:val="39"/>
    <w:rsid w:val="00fc40b3"/>
    <w:pPr>
      <w:widowControl/>
      <w:ind w:left="1760"/>
    </w:pPr>
    <w:rPr>
      <w:rFonts w:cs="Times New Roman"/>
      <w:szCs w:val="21"/>
      <w:lang w:bidi="ar-SA"/>
    </w:rPr>
  </w:style>
  <w:style w:type="paragraph" w:styleId="Tab2" w:customStyle="1">
    <w:name w:val="tab2"/>
    <w:basedOn w:val="Tab1"/>
    <w:uiPriority w:val="99"/>
    <w:qFormat/>
    <w:rsid w:val="00fc40b3"/>
    <w:pPr>
      <w:spacing w:lineRule="atLeast" w:line="360"/>
      <w:ind w:hanging="284" w:left="1276"/>
    </w:pPr>
    <w:rPr/>
  </w:style>
  <w:style w:type="paragraph" w:styleId="Tab0" w:customStyle="1">
    <w:name w:val="tab0"/>
    <w:basedOn w:val="Normal1"/>
    <w:uiPriority w:val="99"/>
    <w:qFormat/>
    <w:rsid w:val="00fc40b3"/>
    <w:pPr>
      <w:widowControl/>
      <w:ind w:hanging="426" w:left="426"/>
      <w:jc w:val="both"/>
    </w:pPr>
    <w:rPr>
      <w:rFonts w:cs="Times New Roman"/>
      <w:lang w:bidi="ar-SA"/>
    </w:rPr>
  </w:style>
  <w:style w:type="paragraph" w:styleId="NormalIndent">
    <w:name w:val="Normal Indent"/>
    <w:basedOn w:val="Normal1"/>
    <w:uiPriority w:val="99"/>
    <w:qFormat/>
    <w:rsid w:val="00fc40b3"/>
    <w:pPr>
      <w:widowControl/>
      <w:spacing w:lineRule="atLeast" w:line="360"/>
      <w:ind w:left="708"/>
      <w:jc w:val="both"/>
    </w:pPr>
    <w:rPr>
      <w:rFonts w:cs="Times New Roman"/>
      <w:lang w:bidi="ar-SA"/>
    </w:rPr>
  </w:style>
  <w:style w:type="paragraph" w:styleId="Xl24" w:customStyle="1">
    <w:name w:val="xl24"/>
    <w:basedOn w:val="Normal1"/>
    <w:uiPriority w:val="99"/>
    <w:qFormat/>
    <w:rsid w:val="00fc40b3"/>
    <w:pPr>
      <w:widowControl/>
      <w:spacing w:beforeAutospacing="1" w:afterAutospacing="1"/>
    </w:pPr>
    <w:rPr>
      <w:rFonts w:cs="Times New Roman"/>
      <w:szCs w:val="24"/>
      <w:lang w:bidi="ar-SA"/>
    </w:rPr>
  </w:style>
  <w:style w:type="paragraph" w:styleId="Xl25" w:customStyle="1">
    <w:name w:val="xl25"/>
    <w:basedOn w:val="Normal1"/>
    <w:uiPriority w:val="99"/>
    <w:qFormat/>
    <w:rsid w:val="00fc40b3"/>
    <w:pPr>
      <w:widowControl/>
      <w:pBdr>
        <w:top w:val="single" w:sz="4" w:space="0" w:color="000000"/>
        <w:left w:val="single" w:sz="4" w:space="0" w:color="000000"/>
        <w:bottom w:val="single" w:sz="4" w:space="0" w:color="000000"/>
      </w:pBdr>
      <w:spacing w:beforeAutospacing="1" w:afterAutospacing="1"/>
      <w:jc w:val="center"/>
    </w:pPr>
    <w:rPr>
      <w:rFonts w:cs="Times New Roman"/>
      <w:szCs w:val="24"/>
      <w:lang w:bidi="ar-SA"/>
    </w:rPr>
  </w:style>
  <w:style w:type="paragraph" w:styleId="Xl26" w:customStyle="1">
    <w:name w:val="xl26"/>
    <w:basedOn w:val="Normal1"/>
    <w:uiPriority w:val="99"/>
    <w:qFormat/>
    <w:rsid w:val="00fc40b3"/>
    <w:pPr>
      <w:widowControl/>
      <w:pBdr>
        <w:top w:val="single" w:sz="4" w:space="0" w:color="000000"/>
        <w:bottom w:val="single" w:sz="4" w:space="0" w:color="000000"/>
      </w:pBdr>
      <w:spacing w:beforeAutospacing="1" w:afterAutospacing="1"/>
      <w:jc w:val="center"/>
    </w:pPr>
    <w:rPr>
      <w:rFonts w:cs="Times New Roman"/>
      <w:szCs w:val="24"/>
      <w:lang w:bidi="ar-SA"/>
    </w:rPr>
  </w:style>
  <w:style w:type="paragraph" w:styleId="Xl27" w:customStyle="1">
    <w:name w:val="xl27"/>
    <w:basedOn w:val="Normal1"/>
    <w:uiPriority w:val="99"/>
    <w:qFormat/>
    <w:rsid w:val="00fc40b3"/>
    <w:pPr>
      <w:widowControl/>
      <w:pBdr>
        <w:top w:val="single" w:sz="4" w:space="0" w:color="000000"/>
        <w:bottom w:val="single" w:sz="4" w:space="0" w:color="000000"/>
        <w:right w:val="single" w:sz="4" w:space="0" w:color="000000"/>
      </w:pBdr>
      <w:spacing w:beforeAutospacing="1" w:afterAutospacing="1"/>
      <w:jc w:val="center"/>
    </w:pPr>
    <w:rPr>
      <w:rFonts w:cs="Times New Roman"/>
      <w:szCs w:val="24"/>
      <w:lang w:bidi="ar-SA"/>
    </w:rPr>
  </w:style>
  <w:style w:type="paragraph" w:styleId="Xl28" w:customStyle="1">
    <w:name w:val="xl28"/>
    <w:basedOn w:val="Normal1"/>
    <w:uiPriority w:val="99"/>
    <w:qFormat/>
    <w:rsid w:val="00fc40b3"/>
    <w:pPr>
      <w:widowControl/>
      <w:pBdr>
        <w:left w:val="single" w:sz="4" w:space="0" w:color="000000"/>
      </w:pBdr>
      <w:spacing w:beforeAutospacing="1" w:afterAutospacing="1"/>
      <w:jc w:val="center"/>
    </w:pPr>
    <w:rPr>
      <w:rFonts w:cs="Times New Roman"/>
      <w:szCs w:val="24"/>
      <w:lang w:bidi="ar-SA"/>
    </w:rPr>
  </w:style>
  <w:style w:type="paragraph" w:styleId="Xl29" w:customStyle="1">
    <w:name w:val="xl29"/>
    <w:basedOn w:val="Normal1"/>
    <w:uiPriority w:val="99"/>
    <w:qFormat/>
    <w:rsid w:val="00fc40b3"/>
    <w:pPr>
      <w:widowControl/>
      <w:spacing w:beforeAutospacing="1" w:afterAutospacing="1"/>
      <w:jc w:val="center"/>
    </w:pPr>
    <w:rPr>
      <w:rFonts w:cs="Times New Roman"/>
      <w:szCs w:val="24"/>
      <w:lang w:bidi="ar-SA"/>
    </w:rPr>
  </w:style>
  <w:style w:type="paragraph" w:styleId="Xl30" w:customStyle="1">
    <w:name w:val="xl30"/>
    <w:basedOn w:val="Normal1"/>
    <w:uiPriority w:val="99"/>
    <w:qFormat/>
    <w:rsid w:val="00fc40b3"/>
    <w:pPr>
      <w:widowControl/>
      <w:pBdr>
        <w:right w:val="single" w:sz="4" w:space="0" w:color="000000"/>
      </w:pBdr>
      <w:spacing w:beforeAutospacing="1" w:afterAutospacing="1"/>
      <w:jc w:val="center"/>
    </w:pPr>
    <w:rPr>
      <w:rFonts w:cs="Times New Roman"/>
      <w:szCs w:val="24"/>
      <w:lang w:bidi="ar-SA"/>
    </w:rPr>
  </w:style>
  <w:style w:type="paragraph" w:styleId="Xl31" w:customStyle="1">
    <w:name w:val="xl31"/>
    <w:basedOn w:val="Normal1"/>
    <w:uiPriority w:val="99"/>
    <w:qFormat/>
    <w:rsid w:val="00fc40b3"/>
    <w:pPr>
      <w:widowControl/>
      <w:pBdr>
        <w:right w:val="single" w:sz="4" w:space="0" w:color="000000"/>
      </w:pBdr>
      <w:spacing w:beforeAutospacing="1" w:afterAutospacing="1"/>
    </w:pPr>
    <w:rPr>
      <w:rFonts w:cs="Times New Roman"/>
      <w:szCs w:val="24"/>
      <w:lang w:bidi="ar-SA"/>
    </w:rPr>
  </w:style>
  <w:style w:type="paragraph" w:styleId="Xl32" w:customStyle="1">
    <w:name w:val="xl32"/>
    <w:basedOn w:val="Normal1"/>
    <w:uiPriority w:val="99"/>
    <w:qFormat/>
    <w:rsid w:val="00fc40b3"/>
    <w:pPr>
      <w:widowControl/>
      <w:pBdr>
        <w:left w:val="single" w:sz="4" w:space="0" w:color="000000"/>
      </w:pBdr>
      <w:spacing w:beforeAutospacing="1" w:afterAutospacing="1"/>
    </w:pPr>
    <w:rPr>
      <w:rFonts w:cs="Times New Roman"/>
      <w:szCs w:val="24"/>
      <w:lang w:bidi="ar-SA"/>
    </w:rPr>
  </w:style>
  <w:style w:type="paragraph" w:styleId="Xl33" w:customStyle="1">
    <w:name w:val="xl33"/>
    <w:basedOn w:val="Normal1"/>
    <w:uiPriority w:val="99"/>
    <w:qFormat/>
    <w:rsid w:val="00fc40b3"/>
    <w:pPr>
      <w:widowControl/>
      <w:pBdr>
        <w:top w:val="single" w:sz="4" w:space="0" w:color="000000"/>
        <w:left w:val="single" w:sz="4" w:space="0" w:color="000000"/>
        <w:bottom w:val="single" w:sz="4" w:space="0" w:color="000000"/>
      </w:pBdr>
      <w:spacing w:beforeAutospacing="1" w:afterAutospacing="1"/>
    </w:pPr>
    <w:rPr>
      <w:rFonts w:cs="Times New Roman"/>
      <w:b/>
      <w:bCs/>
      <w:szCs w:val="24"/>
      <w:lang w:bidi="ar-SA"/>
    </w:rPr>
  </w:style>
  <w:style w:type="paragraph" w:styleId="Xl34" w:customStyle="1">
    <w:name w:val="xl34"/>
    <w:basedOn w:val="Normal1"/>
    <w:uiPriority w:val="99"/>
    <w:qFormat/>
    <w:rsid w:val="00fc40b3"/>
    <w:pPr>
      <w:widowControl/>
      <w:pBdr>
        <w:top w:val="single" w:sz="4" w:space="0" w:color="000000"/>
        <w:left w:val="single" w:sz="4" w:space="0" w:color="000000"/>
        <w:bottom w:val="single" w:sz="4" w:space="0" w:color="000000"/>
      </w:pBdr>
      <w:shd w:val="clear" w:color="auto" w:fill="FFFF00"/>
      <w:spacing w:beforeAutospacing="1" w:afterAutospacing="1"/>
      <w:jc w:val="center"/>
    </w:pPr>
    <w:rPr>
      <w:rFonts w:cs="Times New Roman"/>
      <w:szCs w:val="24"/>
      <w:lang w:bidi="ar-SA"/>
    </w:rPr>
  </w:style>
  <w:style w:type="paragraph" w:styleId="Xl35" w:customStyle="1">
    <w:name w:val="xl35"/>
    <w:basedOn w:val="Normal1"/>
    <w:uiPriority w:val="99"/>
    <w:qFormat/>
    <w:rsid w:val="00fc40b3"/>
    <w:pPr>
      <w:widowControl/>
      <w:pBdr>
        <w:top w:val="single" w:sz="4" w:space="0" w:color="000000"/>
        <w:bottom w:val="single" w:sz="4" w:space="0" w:color="000000"/>
      </w:pBdr>
      <w:shd w:val="clear" w:color="auto" w:fill="FFFF00"/>
      <w:spacing w:beforeAutospacing="1" w:afterAutospacing="1"/>
      <w:jc w:val="center"/>
    </w:pPr>
    <w:rPr>
      <w:rFonts w:cs="Times New Roman"/>
      <w:szCs w:val="24"/>
      <w:lang w:bidi="ar-SA"/>
    </w:rPr>
  </w:style>
  <w:style w:type="paragraph" w:styleId="Xl36" w:customStyle="1">
    <w:name w:val="xl36"/>
    <w:basedOn w:val="Normal1"/>
    <w:uiPriority w:val="99"/>
    <w:qFormat/>
    <w:rsid w:val="00fc40b3"/>
    <w:pPr>
      <w:widowControl/>
      <w:pBdr>
        <w:top w:val="single" w:sz="4" w:space="0" w:color="000000"/>
        <w:bottom w:val="single" w:sz="4" w:space="0" w:color="000000"/>
        <w:right w:val="single" w:sz="4" w:space="0" w:color="000000"/>
      </w:pBdr>
      <w:shd w:val="clear" w:color="auto" w:fill="FFFF00"/>
      <w:spacing w:beforeAutospacing="1" w:afterAutospacing="1"/>
      <w:jc w:val="center"/>
    </w:pPr>
    <w:rPr>
      <w:rFonts w:cs="Times New Roman"/>
      <w:szCs w:val="24"/>
      <w:lang w:bidi="ar-SA"/>
    </w:rPr>
  </w:style>
  <w:style w:type="paragraph" w:styleId="Xl37" w:customStyle="1">
    <w:name w:val="xl37"/>
    <w:basedOn w:val="Normal1"/>
    <w:uiPriority w:val="99"/>
    <w:qFormat/>
    <w:rsid w:val="00fc40b3"/>
    <w:pPr>
      <w:widowControl/>
      <w:pBdr>
        <w:top w:val="single" w:sz="4" w:space="0" w:color="000000"/>
        <w:bottom w:val="single" w:sz="4" w:space="0" w:color="000000"/>
      </w:pBdr>
      <w:spacing w:beforeAutospacing="1" w:afterAutospacing="1"/>
    </w:pPr>
    <w:rPr>
      <w:rFonts w:cs="Times New Roman"/>
      <w:szCs w:val="24"/>
      <w:lang w:bidi="ar-SA"/>
    </w:rPr>
  </w:style>
  <w:style w:type="paragraph" w:styleId="Xl38" w:customStyle="1">
    <w:name w:val="xl38"/>
    <w:basedOn w:val="Normal1"/>
    <w:uiPriority w:val="99"/>
    <w:qFormat/>
    <w:rsid w:val="00fc40b3"/>
    <w:pPr>
      <w:widowControl/>
      <w:pBdr>
        <w:top w:val="single" w:sz="4" w:space="0" w:color="000000"/>
        <w:bottom w:val="single" w:sz="4" w:space="0" w:color="000000"/>
        <w:right w:val="single" w:sz="4" w:space="0" w:color="000000"/>
      </w:pBdr>
      <w:spacing w:beforeAutospacing="1" w:afterAutospacing="1"/>
    </w:pPr>
    <w:rPr>
      <w:rFonts w:cs="Times New Roman"/>
      <w:szCs w:val="24"/>
      <w:lang w:bidi="ar-SA"/>
    </w:rPr>
  </w:style>
  <w:style w:type="paragraph" w:styleId="Xl39" w:customStyle="1">
    <w:name w:val="xl39"/>
    <w:basedOn w:val="Normal1"/>
    <w:uiPriority w:val="99"/>
    <w:qFormat/>
    <w:rsid w:val="00fc40b3"/>
    <w:pPr>
      <w:widowControl/>
      <w:pBdr>
        <w:top w:val="single" w:sz="4" w:space="0" w:color="000000"/>
        <w:left w:val="single" w:sz="4" w:space="0" w:color="000000"/>
        <w:bottom w:val="single" w:sz="4" w:space="0" w:color="000000"/>
      </w:pBdr>
      <w:spacing w:beforeAutospacing="1" w:afterAutospacing="1"/>
    </w:pPr>
    <w:rPr>
      <w:rFonts w:cs="Times New Roman"/>
      <w:szCs w:val="24"/>
      <w:lang w:bidi="ar-SA"/>
    </w:rPr>
  </w:style>
  <w:style w:type="paragraph" w:styleId="Xl40" w:customStyle="1">
    <w:name w:val="xl40"/>
    <w:basedOn w:val="Normal1"/>
    <w:uiPriority w:val="99"/>
    <w:qFormat/>
    <w:rsid w:val="00fc40b3"/>
    <w:pPr>
      <w:widowControl/>
      <w:pBdr>
        <w:top w:val="single" w:sz="4" w:space="0" w:color="000000"/>
        <w:left w:val="single" w:sz="4" w:space="0" w:color="000000"/>
        <w:bottom w:val="single" w:sz="4" w:space="0" w:color="000000"/>
      </w:pBdr>
      <w:spacing w:beforeAutospacing="1" w:afterAutospacing="1"/>
    </w:pPr>
    <w:rPr>
      <w:rFonts w:cs="Times New Roman"/>
      <w:i/>
      <w:iCs/>
      <w:sz w:val="16"/>
      <w:szCs w:val="16"/>
      <w:lang w:bidi="ar-SA"/>
    </w:rPr>
  </w:style>
  <w:style w:type="paragraph" w:styleId="Xl41" w:customStyle="1">
    <w:name w:val="xl41"/>
    <w:basedOn w:val="Normal1"/>
    <w:uiPriority w:val="99"/>
    <w:qFormat/>
    <w:rsid w:val="00fc40b3"/>
    <w:pPr>
      <w:widowControl/>
      <w:pBdr>
        <w:top w:val="single" w:sz="4" w:space="0" w:color="000000"/>
        <w:bottom w:val="single" w:sz="4" w:space="0" w:color="000000"/>
      </w:pBdr>
      <w:shd w:val="clear" w:color="auto" w:fill="C0C0C0"/>
      <w:spacing w:beforeAutospacing="1" w:afterAutospacing="1"/>
    </w:pPr>
    <w:rPr>
      <w:rFonts w:cs="Times New Roman"/>
      <w:szCs w:val="24"/>
      <w:lang w:bidi="ar-SA"/>
    </w:rPr>
  </w:style>
  <w:style w:type="paragraph" w:styleId="Xl42" w:customStyle="1">
    <w:name w:val="xl42"/>
    <w:basedOn w:val="Normal1"/>
    <w:uiPriority w:val="99"/>
    <w:qFormat/>
    <w:rsid w:val="00fc40b3"/>
    <w:pPr>
      <w:widowControl/>
      <w:pBdr>
        <w:top w:val="single" w:sz="4" w:space="0" w:color="000000"/>
        <w:bottom w:val="single" w:sz="4" w:space="0" w:color="000000"/>
        <w:right w:val="single" w:sz="4" w:space="0" w:color="000000"/>
      </w:pBdr>
      <w:shd w:val="clear" w:color="auto" w:fill="C0C0C0"/>
      <w:spacing w:beforeAutospacing="1" w:afterAutospacing="1"/>
    </w:pPr>
    <w:rPr>
      <w:rFonts w:cs="Times New Roman"/>
      <w:szCs w:val="24"/>
      <w:lang w:bidi="ar-SA"/>
    </w:rPr>
  </w:style>
  <w:style w:type="paragraph" w:styleId="Xl43" w:customStyle="1">
    <w:name w:val="xl43"/>
    <w:basedOn w:val="Normal1"/>
    <w:uiPriority w:val="99"/>
    <w:qFormat/>
    <w:rsid w:val="00fc40b3"/>
    <w:pPr>
      <w:widowControl/>
      <w:pBdr>
        <w:top w:val="single" w:sz="4" w:space="0" w:color="000000"/>
        <w:left w:val="single" w:sz="4" w:space="0" w:color="000000"/>
        <w:bottom w:val="single" w:sz="4" w:space="0" w:color="000000"/>
      </w:pBdr>
      <w:shd w:val="clear" w:color="auto" w:fill="C0C0C0"/>
      <w:spacing w:beforeAutospacing="1" w:afterAutospacing="1"/>
    </w:pPr>
    <w:rPr>
      <w:rFonts w:cs="Times New Roman"/>
      <w:szCs w:val="24"/>
      <w:lang w:bidi="ar-SA"/>
    </w:rPr>
  </w:style>
  <w:style w:type="paragraph" w:styleId="Xl44" w:customStyle="1">
    <w:name w:val="xl44"/>
    <w:basedOn w:val="Normal1"/>
    <w:uiPriority w:val="99"/>
    <w:qFormat/>
    <w:rsid w:val="00fc40b3"/>
    <w:pPr>
      <w:widowControl/>
      <w:pBdr>
        <w:top w:val="single" w:sz="4" w:space="0" w:color="000000"/>
        <w:left w:val="single" w:sz="4" w:space="0" w:color="000000"/>
        <w:bottom w:val="single" w:sz="4" w:space="0" w:color="000000"/>
      </w:pBdr>
      <w:shd w:val="clear" w:color="auto" w:fill="FFFF00"/>
      <w:spacing w:beforeAutospacing="1" w:afterAutospacing="1"/>
    </w:pPr>
    <w:rPr>
      <w:rFonts w:cs="Times New Roman"/>
      <w:szCs w:val="24"/>
      <w:lang w:bidi="ar-SA"/>
    </w:rPr>
  </w:style>
  <w:style w:type="paragraph" w:styleId="Pginas" w:customStyle="1">
    <w:name w:val="Páginas"/>
    <w:basedOn w:val="BodyText"/>
    <w:uiPriority w:val="99"/>
    <w:qFormat/>
    <w:rsid w:val="00fc40b3"/>
    <w:pPr>
      <w:keepNext w:val="true"/>
      <w:widowControl/>
      <w:suppressAutoHyphens w:val="true"/>
      <w:spacing w:before="0" w:after="0"/>
    </w:pPr>
    <w:rPr>
      <w:rFonts w:cs="Times New Roman"/>
      <w:b/>
      <w:szCs w:val="20"/>
      <w:lang w:bidi="ar-SA"/>
    </w:rPr>
  </w:style>
  <w:style w:type="paragraph" w:styleId="Tab" w:customStyle="1">
    <w:name w:val="tab"/>
    <w:basedOn w:val="Normal1"/>
    <w:uiPriority w:val="99"/>
    <w:qFormat/>
    <w:rsid w:val="00fc40b3"/>
    <w:pPr>
      <w:widowControl/>
      <w:ind w:hanging="142" w:left="851"/>
      <w:jc w:val="both"/>
    </w:pPr>
    <w:rPr>
      <w:rFonts w:cs="Times New Roman"/>
      <w:lang w:bidi="ar-SA"/>
    </w:rPr>
  </w:style>
  <w:style w:type="paragraph" w:styleId="ListBullet">
    <w:name w:val="List Bullet"/>
    <w:basedOn w:val="Normal1"/>
    <w:autoRedefine/>
    <w:uiPriority w:val="99"/>
    <w:rsid w:val="00fc40b3"/>
    <w:pPr>
      <w:widowControl/>
      <w:tabs>
        <w:tab w:val="clear" w:pos="720"/>
        <w:tab w:val="left" w:pos="360" w:leader="none"/>
      </w:tabs>
      <w:ind w:hanging="360" w:left="360"/>
    </w:pPr>
    <w:rPr>
      <w:rFonts w:cs="Times New Roman"/>
      <w:lang w:bidi="ar-SA"/>
    </w:rPr>
  </w:style>
  <w:style w:type="paragraph" w:styleId="STN1" w:customStyle="1">
    <w:name w:val="STN 1"/>
    <w:next w:val="STNormal"/>
    <w:uiPriority w:val="99"/>
    <w:qFormat/>
    <w:rsid w:val="00fc40b3"/>
    <w:pPr>
      <w:widowControl w:val="false"/>
      <w:tabs>
        <w:tab w:val="clear" w:pos="720"/>
        <w:tab w:val="left" w:pos="709" w:leader="none"/>
      </w:tabs>
      <w:bidi w:val="0"/>
      <w:spacing w:before="0" w:after="120"/>
      <w:ind w:hanging="709" w:left="709"/>
      <w:jc w:val="both"/>
    </w:pPr>
    <w:rPr>
      <w:rFonts w:ascii="Arial" w:hAnsi="Arial" w:eastAsia="Book Antiqua" w:cs="Book Antiqua"/>
      <w:color w:val="333399"/>
      <w:kern w:val="0"/>
      <w:sz w:val="20"/>
      <w:szCs w:val="24"/>
      <w:lang w:val="es-ES" w:eastAsia="zh-CN" w:bidi="hi-IN"/>
    </w:rPr>
  </w:style>
  <w:style w:type="paragraph" w:styleId="STNormal" w:customStyle="1">
    <w:name w:val="STNormal"/>
    <w:basedOn w:val="Normal1"/>
    <w:uiPriority w:val="99"/>
    <w:qFormat/>
    <w:rsid w:val="00fc40b3"/>
    <w:pPr>
      <w:widowControl/>
      <w:jc w:val="both"/>
    </w:pPr>
    <w:rPr>
      <w:rFonts w:cs="Times New Roman"/>
      <w:lang w:bidi="ar-SA"/>
    </w:rPr>
  </w:style>
  <w:style w:type="paragraph" w:styleId="STN2" w:customStyle="1">
    <w:name w:val="STN 2"/>
    <w:next w:val="STNormal"/>
    <w:uiPriority w:val="99"/>
    <w:qFormat/>
    <w:rsid w:val="00fc40b3"/>
    <w:pPr>
      <w:widowControl w:val="false"/>
      <w:tabs>
        <w:tab w:val="clear" w:pos="720"/>
        <w:tab w:val="left" w:pos="709" w:leader="none"/>
      </w:tabs>
      <w:bidi w:val="0"/>
      <w:spacing w:before="0" w:after="240"/>
      <w:ind w:hanging="709" w:left="709"/>
      <w:jc w:val="both"/>
    </w:pPr>
    <w:rPr>
      <w:rFonts w:ascii="Arial" w:hAnsi="Arial" w:eastAsia="Book Antiqua" w:cs="Book Antiqua"/>
      <w:color w:val="333399"/>
      <w:kern w:val="0"/>
      <w:sz w:val="20"/>
      <w:szCs w:val="24"/>
      <w:lang w:val="es-ES" w:eastAsia="zh-CN" w:bidi="hi-IN"/>
    </w:rPr>
  </w:style>
  <w:style w:type="paragraph" w:styleId="STN3" w:customStyle="1">
    <w:name w:val="STN 3"/>
    <w:next w:val="STNormal"/>
    <w:uiPriority w:val="99"/>
    <w:qFormat/>
    <w:rsid w:val="00fc40b3"/>
    <w:pPr>
      <w:widowControl w:val="false"/>
      <w:tabs>
        <w:tab w:val="clear" w:pos="720"/>
        <w:tab w:val="left" w:pos="709" w:leader="none"/>
      </w:tabs>
      <w:bidi w:val="0"/>
      <w:spacing w:before="120" w:after="120"/>
      <w:ind w:hanging="709" w:left="709"/>
      <w:jc w:val="both"/>
    </w:pPr>
    <w:rPr>
      <w:rFonts w:ascii="Arial" w:hAnsi="Arial" w:eastAsia="Book Antiqua" w:cs="Book Antiqua"/>
      <w:bCs/>
      <w:color w:val="333399"/>
      <w:kern w:val="0"/>
      <w:sz w:val="20"/>
      <w:szCs w:val="24"/>
      <w:lang w:val="es-ES" w:eastAsia="zh-CN" w:bidi="hi-IN"/>
    </w:rPr>
  </w:style>
  <w:style w:type="paragraph" w:styleId="Tabla" w:customStyle="1">
    <w:name w:val="tabla"/>
    <w:basedOn w:val="Normal1"/>
    <w:uiPriority w:val="99"/>
    <w:qFormat/>
    <w:rsid w:val="00fc40b3"/>
    <w:pPr>
      <w:widowControl/>
      <w:tabs>
        <w:tab w:val="clear" w:pos="720"/>
        <w:tab w:val="left" w:pos="567" w:leader="none"/>
      </w:tabs>
      <w:spacing w:lineRule="auto" w:line="360"/>
      <w:jc w:val="both"/>
    </w:pPr>
    <w:rPr>
      <w:rFonts w:cs="Times New Roman"/>
      <w:lang w:bidi="ar-SA"/>
    </w:rPr>
  </w:style>
  <w:style w:type="paragraph" w:styleId="Indexado" w:customStyle="1">
    <w:name w:val="Indexado"/>
    <w:basedOn w:val="Normal1"/>
    <w:uiPriority w:val="99"/>
    <w:qFormat/>
    <w:rsid w:val="00fc40b3"/>
    <w:pPr>
      <w:widowControl/>
      <w:numPr>
        <w:ilvl w:val="0"/>
        <w:numId w:val="2"/>
      </w:numPr>
      <w:jc w:val="both"/>
    </w:pPr>
    <w:rPr>
      <w:rFonts w:cs="Times New Roman"/>
      <w:lang w:bidi="ar-SA"/>
    </w:rPr>
  </w:style>
  <w:style w:type="paragraph" w:styleId="IndexadoNegrita" w:customStyle="1">
    <w:name w:val="Indexado Negrita"/>
    <w:basedOn w:val="Indexado"/>
    <w:next w:val="Indexado"/>
    <w:uiPriority w:val="99"/>
    <w:qFormat/>
    <w:rsid w:val="00fc40b3"/>
    <w:pPr>
      <w:numPr>
        <w:ilvl w:val="0"/>
        <w:numId w:val="0"/>
      </w:numPr>
      <w:ind w:hanging="284" w:left="284"/>
    </w:pPr>
    <w:rPr>
      <w:b/>
      <w:bCs/>
    </w:rPr>
  </w:style>
  <w:style w:type="paragraph" w:styleId="Normalindexpunt" w:customStyle="1">
    <w:name w:val="Normal_index_punt"/>
    <w:basedOn w:val="Normal1"/>
    <w:uiPriority w:val="99"/>
    <w:qFormat/>
    <w:rsid w:val="00fc40b3"/>
    <w:pPr>
      <w:ind w:hanging="283" w:left="567"/>
      <w:jc w:val="both"/>
    </w:pPr>
    <w:rPr>
      <w:rFonts w:cs="Times New Roman"/>
      <w:lang w:bidi="ar-SA"/>
    </w:rPr>
  </w:style>
  <w:style w:type="paragraph" w:styleId="ListBullet2">
    <w:name w:val="List Bullet 2"/>
    <w:basedOn w:val="Normal1"/>
    <w:autoRedefine/>
    <w:uiPriority w:val="99"/>
    <w:rsid w:val="00fc40b3"/>
    <w:pPr>
      <w:widowControl/>
      <w:numPr>
        <w:ilvl w:val="0"/>
        <w:numId w:val="1"/>
      </w:numPr>
    </w:pPr>
    <w:rPr>
      <w:rFonts w:cs="Times New Roman"/>
      <w:lang w:bidi="ar-SA"/>
    </w:rPr>
  </w:style>
  <w:style w:type="paragraph" w:styleId="ListBullet3">
    <w:name w:val="List Bullet 3"/>
    <w:basedOn w:val="Normal1"/>
    <w:autoRedefine/>
    <w:uiPriority w:val="99"/>
    <w:rsid w:val="00fc40b3"/>
    <w:pPr>
      <w:widowControl/>
      <w:numPr>
        <w:ilvl w:val="0"/>
        <w:numId w:val="3"/>
      </w:numPr>
      <w:shd w:val="pct20" w:color="auto" w:fill="FFFFFF"/>
    </w:pPr>
    <w:rPr>
      <w:rFonts w:ascii="Arial Narrow" w:hAnsi="Arial Narrow" w:cs="Times New Roman"/>
      <w:lang w:bidi="ar-SA"/>
    </w:rPr>
  </w:style>
  <w:style w:type="paragraph" w:styleId="Textoindependiente31" w:customStyle="1">
    <w:name w:val="Texto independiente 31"/>
    <w:basedOn w:val="Normal1"/>
    <w:uiPriority w:val="99"/>
    <w:qFormat/>
    <w:rsid w:val="00fc40b3"/>
    <w:pPr>
      <w:widowControl/>
      <w:jc w:val="both"/>
    </w:pPr>
    <w:rPr>
      <w:rFonts w:cs="Times New Roman"/>
      <w:lang w:bidi="ar-SA"/>
    </w:rPr>
  </w:style>
  <w:style w:type="paragraph" w:styleId="DocumentMap">
    <w:name w:val="Document Map"/>
    <w:basedOn w:val="Normal1"/>
    <w:link w:val="MapadeldocumentoCar"/>
    <w:uiPriority w:val="99"/>
    <w:semiHidden/>
    <w:qFormat/>
    <w:rsid w:val="00fc40b3"/>
    <w:pPr>
      <w:widowControl/>
      <w:shd w:val="clear" w:color="auto" w:fill="000080"/>
      <w:jc w:val="both"/>
    </w:pPr>
    <w:rPr>
      <w:rFonts w:ascii="Tahoma" w:hAnsi="Tahoma" w:cs="Times New Roman"/>
      <w:lang w:bidi="ar-SA"/>
    </w:rPr>
  </w:style>
  <w:style w:type="paragraph" w:styleId="Articulado" w:customStyle="1">
    <w:name w:val="Articulado"/>
    <w:basedOn w:val="BodyText"/>
    <w:uiPriority w:val="99"/>
    <w:qFormat/>
    <w:rsid w:val="00fc40b3"/>
    <w:pPr>
      <w:widowControl/>
      <w:spacing w:lineRule="exact" w:line="280" w:before="0" w:after="240"/>
      <w:jc w:val="both"/>
    </w:pPr>
    <w:rPr>
      <w:rFonts w:cs="Times New Roman"/>
      <w:sz w:val="23"/>
      <w:szCs w:val="20"/>
      <w:lang w:val="es-ES_tradnl" w:bidi="ar-SA"/>
    </w:rPr>
  </w:style>
  <w:style w:type="paragraph" w:styleId="Normal2" w:customStyle="1">
    <w:name w:val="Normal2"/>
    <w:basedOn w:val="Normal1"/>
    <w:uiPriority w:val="99"/>
    <w:qFormat/>
    <w:rsid w:val="00fc40b3"/>
    <w:pPr>
      <w:keepNext w:val="true"/>
      <w:widowControl/>
      <w:suppressAutoHyphens w:val="true"/>
      <w:jc w:val="center"/>
    </w:pPr>
    <w:rPr>
      <w:rFonts w:cs="Times New Roman"/>
      <w:b/>
      <w:sz w:val="16"/>
      <w:szCs w:val="24"/>
      <w:lang w:val="es-ES_tradnl" w:bidi="ar-SA"/>
    </w:rPr>
  </w:style>
  <w:style w:type="paragraph" w:styleId="Font6" w:customStyle="1">
    <w:name w:val="font6"/>
    <w:basedOn w:val="Normal1"/>
    <w:uiPriority w:val="99"/>
    <w:qFormat/>
    <w:rsid w:val="00fc40b3"/>
    <w:pPr>
      <w:widowControl/>
      <w:spacing w:beforeAutospacing="1" w:afterAutospacing="1"/>
    </w:pPr>
    <w:rPr>
      <w:rFonts w:eastAsia="Arial Unicode MS"/>
      <w:sz w:val="16"/>
      <w:szCs w:val="16"/>
      <w:lang w:bidi="ar-SA"/>
    </w:rPr>
  </w:style>
  <w:style w:type="paragraph" w:styleId="BodyTextIndent2">
    <w:name w:val="Body Text Indent 2"/>
    <w:basedOn w:val="Normal1"/>
    <w:link w:val="Sangra2detindependienteCar"/>
    <w:uiPriority w:val="99"/>
    <w:qFormat/>
    <w:rsid w:val="00fc40b3"/>
    <w:pPr>
      <w:widowControl/>
      <w:ind w:left="284"/>
      <w:jc w:val="both"/>
    </w:pPr>
    <w:rPr>
      <w:rFonts w:cs="Times New Roman"/>
      <w:color w:val="0000FF"/>
      <w:lang w:bidi="ar-SA"/>
    </w:rPr>
  </w:style>
  <w:style w:type="paragraph" w:styleId="Font5" w:customStyle="1">
    <w:name w:val="font5"/>
    <w:basedOn w:val="Normal1"/>
    <w:uiPriority w:val="99"/>
    <w:qFormat/>
    <w:rsid w:val="00fc40b3"/>
    <w:pPr>
      <w:widowControl/>
      <w:spacing w:before="100" w:after="100"/>
    </w:pPr>
    <w:rPr>
      <w:rFonts w:cs="Times New Roman"/>
      <w:lang w:bidi="ar-SA"/>
    </w:rPr>
  </w:style>
  <w:style w:type="paragraph" w:styleId="Normalin2" w:customStyle="1">
    <w:name w:val="Normal_in_2"/>
    <w:basedOn w:val="Normal1"/>
    <w:uiPriority w:val="99"/>
    <w:qFormat/>
    <w:rsid w:val="00fc40b3"/>
    <w:pPr>
      <w:widowControl/>
      <w:tabs>
        <w:tab w:val="clear" w:pos="720"/>
        <w:tab w:val="left" w:pos="360" w:leader="none"/>
      </w:tabs>
      <w:ind w:hanging="340" w:left="340"/>
    </w:pPr>
    <w:rPr>
      <w:rFonts w:cs="Times New Roman"/>
      <w:szCs w:val="24"/>
      <w:lang w:bidi="ar-SA"/>
    </w:rPr>
  </w:style>
  <w:style w:type="paragraph" w:styleId="Tab11" w:customStyle="1">
    <w:name w:val="tab 1"/>
    <w:basedOn w:val="Normal1"/>
    <w:autoRedefine/>
    <w:uiPriority w:val="99"/>
    <w:qFormat/>
    <w:rsid w:val="00fc40b3"/>
    <w:pPr>
      <w:keepNext w:val="true"/>
      <w:widowControl/>
      <w:numPr>
        <w:ilvl w:val="0"/>
        <w:numId w:val="4"/>
      </w:numPr>
      <w:suppressAutoHyphens w:val="true"/>
      <w:ind w:hanging="340" w:left="340"/>
    </w:pPr>
    <w:rPr>
      <w:rFonts w:cs="Times New Roman"/>
      <w:szCs w:val="24"/>
      <w:lang w:bidi="ar-SA"/>
    </w:rPr>
  </w:style>
  <w:style w:type="paragraph" w:styleId="Xl22" w:customStyle="1">
    <w:name w:val="xl22"/>
    <w:basedOn w:val="Normal1"/>
    <w:uiPriority w:val="99"/>
    <w:qFormat/>
    <w:rsid w:val="00fc40b3"/>
    <w:pPr>
      <w:widowControl/>
      <w:spacing w:beforeAutospacing="1" w:afterAutospacing="1"/>
      <w:jc w:val="center"/>
    </w:pPr>
    <w:rPr>
      <w:rFonts w:eastAsia="Arial Unicode MS"/>
      <w:sz w:val="16"/>
      <w:szCs w:val="16"/>
      <w:lang w:bidi="ar-SA"/>
    </w:rPr>
  </w:style>
  <w:style w:type="paragraph" w:styleId="Xl23" w:customStyle="1">
    <w:name w:val="xl23"/>
    <w:basedOn w:val="Normal1"/>
    <w:uiPriority w:val="99"/>
    <w:qFormat/>
    <w:rsid w:val="00fc40b3"/>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eastAsia="Arial Unicode MS"/>
      <w:sz w:val="16"/>
      <w:szCs w:val="16"/>
      <w:lang w:bidi="ar-SA"/>
    </w:rPr>
  </w:style>
  <w:style w:type="paragraph" w:styleId="Normalnumerado" w:customStyle="1">
    <w:name w:val="Normal_numerado"/>
    <w:basedOn w:val="Normal1"/>
    <w:next w:val="Normal1"/>
    <w:uiPriority w:val="99"/>
    <w:qFormat/>
    <w:rsid w:val="00fc40b3"/>
    <w:pPr>
      <w:widowControl/>
      <w:jc w:val="both"/>
    </w:pPr>
    <w:rPr>
      <w:rFonts w:ascii="Times New Roman" w:hAnsi="Times New Roman" w:cs="Times New Roman"/>
      <w:lang w:bidi="ar-SA"/>
    </w:rPr>
  </w:style>
  <w:style w:type="paragraph" w:styleId="Xl46" w:customStyle="1">
    <w:name w:val="xl46"/>
    <w:basedOn w:val="Normal1"/>
    <w:uiPriority w:val="99"/>
    <w:qFormat/>
    <w:rsid w:val="00fc40b3"/>
    <w:pPr>
      <w:widowControl/>
      <w:pBdr>
        <w:top w:val="single" w:sz="8" w:space="0" w:color="000000"/>
        <w:left w:val="single" w:sz="4" w:space="0" w:color="000000"/>
        <w:bottom w:val="single" w:sz="4" w:space="0" w:color="000000"/>
      </w:pBdr>
      <w:spacing w:beforeAutospacing="1" w:afterAutospacing="1"/>
      <w:textAlignment w:val="center"/>
    </w:pPr>
    <w:rPr>
      <w:rFonts w:eastAsia="Arial Unicode MS"/>
      <w:b/>
      <w:bCs/>
      <w:sz w:val="16"/>
      <w:szCs w:val="16"/>
      <w:lang w:bidi="ar-SA"/>
    </w:rPr>
  </w:style>
  <w:style w:type="paragraph" w:styleId="EstiloTtulo1" w:customStyle="1">
    <w:name w:val="Estilo Título 1"/>
    <w:uiPriority w:val="99"/>
    <w:qFormat/>
    <w:rsid w:val="00fc40b3"/>
    <w:pPr>
      <w:keepNext w:val="false"/>
      <w:widowControl w:val="false"/>
      <w:tabs>
        <w:tab w:val="clear" w:pos="720"/>
        <w:tab w:val="left" w:pos="574" w:leader="none"/>
      </w:tabs>
      <w:bidi w:val="0"/>
      <w:spacing w:before="0" w:after="0"/>
      <w:ind w:hanging="431" w:left="431"/>
      <w:jc w:val="both"/>
    </w:pPr>
    <w:rPr>
      <w:rFonts w:ascii="Arial" w:hAnsi="Arial" w:eastAsia="Book Antiqua" w:cs="Book Antiqua"/>
      <w:color w:val="auto"/>
      <w:kern w:val="0"/>
      <w:sz w:val="24"/>
      <w:szCs w:val="24"/>
      <w:lang w:val="es-ES" w:eastAsia="zh-CN" w:bidi="hi-IN"/>
    </w:rPr>
  </w:style>
  <w:style w:type="paragraph" w:styleId="EstiloTtulo4Automtico" w:customStyle="1">
    <w:name w:val="Estilo Título 4 + Automático"/>
    <w:uiPriority w:val="99"/>
    <w:qFormat/>
    <w:rsid w:val="00fc40b3"/>
    <w:pPr>
      <w:widowControl w:val="false"/>
      <w:tabs>
        <w:tab w:val="clear" w:pos="720"/>
        <w:tab w:val="left" w:pos="1006" w:leader="none"/>
      </w:tabs>
      <w:bidi w:val="0"/>
      <w:spacing w:before="0" w:after="0"/>
      <w:ind w:hanging="864" w:left="1006"/>
      <w:jc w:val="left"/>
    </w:pPr>
    <w:rPr>
      <w:rFonts w:ascii="Book Antiqua" w:hAnsi="Book Antiqua" w:eastAsia="Book Antiqua" w:cs="Book Antiqua"/>
      <w:color w:val="auto"/>
      <w:kern w:val="0"/>
      <w:sz w:val="24"/>
      <w:szCs w:val="24"/>
      <w:lang w:val="es-ES" w:eastAsia="zh-CN" w:bidi="hi-IN"/>
    </w:rPr>
  </w:style>
  <w:style w:type="paragraph" w:styleId="List2">
    <w:name w:val="List 2"/>
    <w:basedOn w:val="Normal1"/>
    <w:uiPriority w:val="99"/>
    <w:qFormat/>
    <w:rsid w:val="00fc40b3"/>
    <w:pPr>
      <w:widowControl/>
      <w:ind w:hanging="283" w:left="566"/>
      <w:jc w:val="both"/>
    </w:pPr>
    <w:rPr>
      <w:rFonts w:cs="Times New Roman"/>
      <w:lang w:bidi="ar-SA"/>
    </w:rPr>
  </w:style>
  <w:style w:type="paragraph" w:styleId="List3">
    <w:name w:val="List 3"/>
    <w:basedOn w:val="Normal1"/>
    <w:uiPriority w:val="99"/>
    <w:qFormat/>
    <w:rsid w:val="00fc40b3"/>
    <w:pPr>
      <w:widowControl/>
      <w:ind w:hanging="283" w:left="849"/>
      <w:jc w:val="both"/>
    </w:pPr>
    <w:rPr>
      <w:rFonts w:cs="Times New Roman"/>
      <w:lang w:bidi="ar-SA"/>
    </w:rPr>
  </w:style>
  <w:style w:type="paragraph" w:styleId="Salutation">
    <w:name w:val="Salutation"/>
    <w:basedOn w:val="Normal1"/>
    <w:next w:val="Normal1"/>
    <w:link w:val="SaludoCar"/>
    <w:uiPriority w:val="99"/>
    <w:rsid w:val="00fc40b3"/>
    <w:pPr>
      <w:widowControl/>
      <w:jc w:val="both"/>
    </w:pPr>
    <w:rPr>
      <w:rFonts w:cs="Times New Roman"/>
      <w:lang w:bidi="ar-SA"/>
    </w:rPr>
  </w:style>
  <w:style w:type="paragraph" w:styleId="ListContinue">
    <w:name w:val="List Continue"/>
    <w:basedOn w:val="Normal1"/>
    <w:uiPriority w:val="99"/>
    <w:rsid w:val="00fc40b3"/>
    <w:pPr>
      <w:widowControl/>
      <w:spacing w:before="0" w:after="120"/>
      <w:ind w:left="283"/>
      <w:jc w:val="both"/>
    </w:pPr>
    <w:rPr>
      <w:rFonts w:cs="Times New Roman"/>
      <w:lang w:bidi="ar-SA"/>
    </w:rPr>
  </w:style>
  <w:style w:type="paragraph" w:styleId="ListContinue2">
    <w:name w:val="List Continue 2"/>
    <w:basedOn w:val="Normal1"/>
    <w:uiPriority w:val="99"/>
    <w:rsid w:val="00fc40b3"/>
    <w:pPr>
      <w:widowControl/>
      <w:spacing w:before="0" w:after="120"/>
      <w:ind w:left="566"/>
      <w:jc w:val="both"/>
    </w:pPr>
    <w:rPr>
      <w:rFonts w:cs="Times New Roman"/>
      <w:lang w:bidi="ar-SA"/>
    </w:rPr>
  </w:style>
  <w:style w:type="paragraph" w:styleId="ListContinue3">
    <w:name w:val="List Continue 3"/>
    <w:basedOn w:val="Normal1"/>
    <w:uiPriority w:val="99"/>
    <w:rsid w:val="00fc40b3"/>
    <w:pPr>
      <w:widowControl/>
      <w:spacing w:before="0" w:after="120"/>
      <w:ind w:left="849"/>
      <w:jc w:val="both"/>
    </w:pPr>
    <w:rPr>
      <w:rFonts w:cs="Times New Roman"/>
      <w:lang w:bidi="ar-SA"/>
    </w:rPr>
  </w:style>
  <w:style w:type="paragraph" w:styleId="ListContinue4">
    <w:name w:val="List Continue 4"/>
    <w:basedOn w:val="Normal1"/>
    <w:uiPriority w:val="99"/>
    <w:rsid w:val="00fc40b3"/>
    <w:pPr>
      <w:widowControl/>
      <w:spacing w:before="0" w:after="120"/>
      <w:ind w:left="1132"/>
      <w:jc w:val="both"/>
    </w:pPr>
    <w:rPr>
      <w:rFonts w:cs="Times New Roman"/>
      <w:lang w:bidi="ar-SA"/>
    </w:rPr>
  </w:style>
  <w:style w:type="paragraph" w:styleId="ListContinue5">
    <w:name w:val="List Continue 5"/>
    <w:basedOn w:val="Normal1"/>
    <w:uiPriority w:val="99"/>
    <w:rsid w:val="00fc40b3"/>
    <w:pPr>
      <w:widowControl/>
      <w:spacing w:before="0" w:after="120"/>
      <w:ind w:left="1415"/>
      <w:jc w:val="both"/>
    </w:pPr>
    <w:rPr>
      <w:rFonts w:cs="Times New Roman"/>
      <w:lang w:bidi="ar-SA"/>
    </w:rPr>
  </w:style>
  <w:style w:type="paragraph" w:styleId="Remite" w:customStyle="1">
    <w:name w:val="Remite"/>
    <w:basedOn w:val="Normal1"/>
    <w:uiPriority w:val="99"/>
    <w:qFormat/>
    <w:rsid w:val="00fc40b3"/>
    <w:pPr>
      <w:widowControl/>
      <w:jc w:val="both"/>
    </w:pPr>
    <w:rPr>
      <w:rFonts w:cs="Times New Roman"/>
      <w:lang w:bidi="ar-SA"/>
    </w:rPr>
  </w:style>
  <w:style w:type="paragraph" w:styleId="Lneadereferencia" w:customStyle="1">
    <w:name w:val="Línea de referencia"/>
    <w:basedOn w:val="BodyText"/>
    <w:uiPriority w:val="99"/>
    <w:qFormat/>
    <w:rsid w:val="00fc40b3"/>
    <w:pPr>
      <w:widowControl/>
      <w:spacing w:before="0" w:after="0"/>
      <w:jc w:val="both"/>
    </w:pPr>
    <w:rPr>
      <w:rFonts w:cs="Times New Roman"/>
      <w:szCs w:val="20"/>
      <w:lang w:bidi="ar-SA"/>
    </w:rPr>
  </w:style>
  <w:style w:type="paragraph" w:styleId="1" w:customStyle="1">
    <w:name w:val="1"/>
    <w:basedOn w:val="Normal1"/>
    <w:next w:val="Normal1"/>
    <w:uiPriority w:val="99"/>
    <w:qFormat/>
    <w:rsid w:val="00fc40b3"/>
    <w:pPr>
      <w:widowControl/>
      <w:jc w:val="both"/>
    </w:pPr>
    <w:rPr>
      <w:rFonts w:cs="Times New Roman"/>
      <w:b/>
      <w:bCs/>
      <w:lang w:bidi="ar-SA"/>
    </w:rPr>
  </w:style>
  <w:style w:type="paragraph" w:styleId="Enum1" w:customStyle="1">
    <w:name w:val="Enum1"/>
    <w:basedOn w:val="Normal1"/>
    <w:uiPriority w:val="99"/>
    <w:qFormat/>
    <w:rsid w:val="00fc40b3"/>
    <w:pPr>
      <w:keepLines/>
      <w:widowControl/>
      <w:numPr>
        <w:ilvl w:val="0"/>
        <w:numId w:val="5"/>
      </w:numPr>
      <w:spacing w:before="180" w:after="0"/>
      <w:jc w:val="both"/>
    </w:pPr>
    <w:rPr>
      <w:rFonts w:cs="Times New Roman"/>
      <w:lang w:val="fr-FR" w:eastAsia="fr-FR" w:bidi="ar-SA"/>
    </w:rPr>
  </w:style>
  <w:style w:type="paragraph" w:styleId="NormalWeb">
    <w:name w:val="Normal (Web)"/>
    <w:basedOn w:val="Normal1"/>
    <w:uiPriority w:val="99"/>
    <w:qFormat/>
    <w:rsid w:val="00fc40b3"/>
    <w:pPr>
      <w:widowControl/>
      <w:spacing w:beforeAutospacing="1" w:afterAutospacing="1"/>
    </w:pPr>
    <w:rPr>
      <w:rFonts w:ascii="Times New Roman" w:hAnsi="Times New Roman" w:cs="Times New Roman"/>
      <w:szCs w:val="24"/>
      <w:lang w:bidi="ar-SA"/>
    </w:rPr>
  </w:style>
  <w:style w:type="paragraph" w:styleId="Continuacin1" w:customStyle="1">
    <w:name w:val="Continuación 1"/>
    <w:basedOn w:val="Normal1"/>
    <w:uiPriority w:val="99"/>
    <w:qFormat/>
    <w:rsid w:val="00fc40b3"/>
    <w:pPr>
      <w:widowControl/>
      <w:spacing w:before="80" w:after="80"/>
      <w:ind w:left="284"/>
      <w:jc w:val="both"/>
    </w:pPr>
    <w:rPr>
      <w:szCs w:val="24"/>
      <w:lang w:bidi="ar-SA"/>
    </w:rPr>
  </w:style>
  <w:style w:type="paragraph" w:styleId="Normallista" w:customStyle="1">
    <w:name w:val="Normal lista"/>
    <w:basedOn w:val="Normal1"/>
    <w:uiPriority w:val="99"/>
    <w:qFormat/>
    <w:rsid w:val="00fc40b3"/>
    <w:pPr>
      <w:numPr>
        <w:ilvl w:val="0"/>
        <w:numId w:val="6"/>
      </w:numPr>
      <w:spacing w:lineRule="auto" w:line="288" w:before="40" w:after="40"/>
      <w:jc w:val="both"/>
    </w:pPr>
    <w:rPr>
      <w:rFonts w:cs="Times New Roman"/>
      <w:spacing w:val="2"/>
      <w:sz w:val="22"/>
      <w:lang w:val="es-ES_tradnl" w:bidi="ar-SA"/>
    </w:rPr>
  </w:style>
  <w:style w:type="paragraph" w:styleId="Cuadrado1" w:customStyle="1">
    <w:name w:val="Cuadrado 1"/>
    <w:basedOn w:val="Normal1"/>
    <w:uiPriority w:val="99"/>
    <w:qFormat/>
    <w:rsid w:val="00fc40b3"/>
    <w:pPr>
      <w:widowControl/>
      <w:numPr>
        <w:ilvl w:val="0"/>
        <w:numId w:val="7"/>
      </w:numPr>
      <w:spacing w:before="80" w:after="80"/>
      <w:jc w:val="both"/>
    </w:pPr>
    <w:rPr>
      <w:szCs w:val="24"/>
      <w:lang w:bidi="ar-SA"/>
    </w:rPr>
  </w:style>
  <w:style w:type="paragraph" w:styleId="Estilo2" w:customStyle="1">
    <w:name w:val="Estilo2"/>
    <w:basedOn w:val="Normal1"/>
    <w:uiPriority w:val="99"/>
    <w:qFormat/>
    <w:rsid w:val="00fc40b3"/>
    <w:pPr>
      <w:widowControl/>
      <w:numPr>
        <w:ilvl w:val="0"/>
        <w:numId w:val="8"/>
      </w:numPr>
      <w:jc w:val="both"/>
      <w:outlineLvl w:val="0"/>
    </w:pPr>
    <w:rPr>
      <w:rFonts w:ascii="Times New Roman" w:hAnsi="Times New Roman" w:cs="Times New Roman"/>
      <w:b/>
      <w:sz w:val="32"/>
      <w:szCs w:val="32"/>
      <w:lang w:val="es-ES_tradnl" w:bidi="ar-SA"/>
    </w:rPr>
  </w:style>
  <w:style w:type="paragraph" w:styleId="Estilo3" w:customStyle="1">
    <w:name w:val="Estilo3"/>
    <w:basedOn w:val="Normal1"/>
    <w:uiPriority w:val="99"/>
    <w:qFormat/>
    <w:rsid w:val="00fc40b3"/>
    <w:pPr>
      <w:widowControl/>
      <w:numPr>
        <w:ilvl w:val="1"/>
        <w:numId w:val="8"/>
      </w:numPr>
      <w:jc w:val="both"/>
      <w:outlineLvl w:val="1"/>
    </w:pPr>
    <w:rPr>
      <w:rFonts w:ascii="Times New Roman" w:hAnsi="Times New Roman" w:cs="Times New Roman"/>
      <w:b/>
      <w:sz w:val="28"/>
      <w:szCs w:val="28"/>
      <w:lang w:val="es-ES_tradnl" w:bidi="ar-SA"/>
    </w:rPr>
  </w:style>
  <w:style w:type="paragraph" w:styleId="Listaalfabsangrada" w:customStyle="1">
    <w:name w:val="Lista alfab sangrada"/>
    <w:basedOn w:val="Normal1"/>
    <w:next w:val="Normal1"/>
    <w:uiPriority w:val="99"/>
    <w:qFormat/>
    <w:rsid w:val="00fc40b3"/>
    <w:pPr>
      <w:widowControl/>
      <w:numPr>
        <w:ilvl w:val="0"/>
        <w:numId w:val="9"/>
      </w:numPr>
      <w:tabs>
        <w:tab w:val="clear" w:pos="720"/>
        <w:tab w:val="left" w:pos="680" w:leader="none"/>
      </w:tabs>
      <w:spacing w:lineRule="exact" w:line="300"/>
      <w:ind w:right="680"/>
      <w:jc w:val="both"/>
    </w:pPr>
    <w:rPr>
      <w:rFonts w:ascii="BdE Neue Helvetica 45 Light" w:hAnsi="BdE Neue Helvetica 45 Light" w:eastAsia="Times" w:cs="Times New Roman"/>
      <w:lang w:val="es-ES_tradnl" w:bidi="ar-SA"/>
    </w:rPr>
  </w:style>
  <w:style w:type="paragraph" w:styleId="CharCharCharCharCharCharCharCharCharCharCharCharCharCharCharCharCharChar1" w:customStyle="1">
    <w:name w:val="Char Char Char Char Char Char Char Char Char Char Char Char Char Char Char Char Char Char1"/>
    <w:basedOn w:val="Normal1"/>
    <w:uiPriority w:val="99"/>
    <w:qFormat/>
    <w:rsid w:val="00e94692"/>
    <w:pPr>
      <w:widowControl/>
      <w:spacing w:lineRule="exact" w:line="240" w:before="0" w:after="160"/>
    </w:pPr>
    <w:rPr>
      <w:rFonts w:ascii="Verdana" w:hAnsi="Verdana" w:cs="Times New Roman"/>
      <w:lang w:val="en-US" w:eastAsia="en-US" w:bidi="ar-SA"/>
    </w:rPr>
  </w:style>
  <w:style w:type="paragraph" w:styleId="Textoindependiente22" w:customStyle="1">
    <w:name w:val="Texto independiente 22"/>
    <w:basedOn w:val="Normal1"/>
    <w:uiPriority w:val="99"/>
    <w:qFormat/>
    <w:rsid w:val="00e94692"/>
    <w:pPr>
      <w:widowControl/>
      <w:tabs>
        <w:tab w:val="clear" w:pos="720"/>
        <w:tab w:val="left" w:pos="4963" w:leader="none"/>
      </w:tabs>
      <w:ind w:right="170"/>
      <w:jc w:val="both"/>
    </w:pPr>
    <w:rPr>
      <w:rFonts w:cs="Times New Roman"/>
      <w:lang w:bidi="ar-SA"/>
    </w:rPr>
  </w:style>
  <w:style w:type="paragraph" w:styleId="Index1">
    <w:name w:val="index 1"/>
    <w:basedOn w:val="Normal1"/>
    <w:next w:val="Normal1"/>
    <w:autoRedefine/>
    <w:uiPriority w:val="99"/>
    <w:semiHidden/>
    <w:unhideWhenUsed/>
    <w:qFormat/>
    <w:rsid w:val="00e94692"/>
    <w:pPr>
      <w:ind w:hanging="200" w:left="200"/>
    </w:pPr>
    <w:rPr>
      <w:szCs w:val="18"/>
    </w:rPr>
  </w:style>
  <w:style w:type="paragraph" w:styleId="Indexheading1">
    <w:name w:val="index heading1"/>
    <w:basedOn w:val="Normal1"/>
    <w:next w:val="Normal1"/>
    <w:uiPriority w:val="99"/>
    <w:semiHidden/>
    <w:qFormat/>
    <w:rsid w:val="00e94692"/>
    <w:pPr>
      <w:widowControl/>
      <w:spacing w:before="240" w:after="120"/>
    </w:pPr>
    <w:rPr>
      <w:rFonts w:cs="Times New Roman"/>
      <w:b/>
      <w:u w:val="single"/>
      <w:lang w:bidi="ar-SA"/>
    </w:rPr>
  </w:style>
  <w:style w:type="paragraph" w:styleId="Index2">
    <w:name w:val="index 2"/>
    <w:basedOn w:val="Normal1"/>
    <w:next w:val="Normal1"/>
    <w:autoRedefine/>
    <w:uiPriority w:val="99"/>
    <w:semiHidden/>
    <w:qFormat/>
    <w:rsid w:val="00e94692"/>
    <w:pPr>
      <w:widowControl/>
      <w:ind w:hanging="220" w:left="440"/>
      <w:jc w:val="both"/>
    </w:pPr>
    <w:rPr>
      <w:rFonts w:cs="Times New Roman"/>
      <w:lang w:bidi="ar-SA"/>
    </w:rPr>
  </w:style>
  <w:style w:type="paragraph" w:styleId="Index3">
    <w:name w:val="index 3"/>
    <w:basedOn w:val="Normal1"/>
    <w:next w:val="Normal1"/>
    <w:autoRedefine/>
    <w:uiPriority w:val="99"/>
    <w:semiHidden/>
    <w:qFormat/>
    <w:rsid w:val="00e94692"/>
    <w:pPr>
      <w:widowControl/>
      <w:ind w:hanging="220" w:left="660"/>
      <w:jc w:val="both"/>
    </w:pPr>
    <w:rPr>
      <w:rFonts w:cs="Times New Roman"/>
      <w:lang w:bidi="ar-SA"/>
    </w:rPr>
  </w:style>
  <w:style w:type="paragraph" w:styleId="Index4">
    <w:name w:val="index 4"/>
    <w:basedOn w:val="Normal1"/>
    <w:next w:val="Normal1"/>
    <w:autoRedefine/>
    <w:uiPriority w:val="99"/>
    <w:semiHidden/>
    <w:qFormat/>
    <w:rsid w:val="00e94692"/>
    <w:pPr>
      <w:widowControl/>
      <w:ind w:hanging="220" w:left="880"/>
      <w:jc w:val="both"/>
    </w:pPr>
    <w:rPr>
      <w:rFonts w:cs="Times New Roman"/>
      <w:lang w:bidi="ar-SA"/>
    </w:rPr>
  </w:style>
  <w:style w:type="paragraph" w:styleId="Index5">
    <w:name w:val="index 5"/>
    <w:basedOn w:val="Normal1"/>
    <w:next w:val="Normal1"/>
    <w:autoRedefine/>
    <w:uiPriority w:val="99"/>
    <w:semiHidden/>
    <w:qFormat/>
    <w:rsid w:val="00e94692"/>
    <w:pPr>
      <w:widowControl/>
      <w:ind w:hanging="220" w:left="1100"/>
      <w:jc w:val="both"/>
    </w:pPr>
    <w:rPr>
      <w:rFonts w:cs="Times New Roman"/>
      <w:lang w:bidi="ar-SA"/>
    </w:rPr>
  </w:style>
  <w:style w:type="paragraph" w:styleId="Index6">
    <w:name w:val="index 6"/>
    <w:basedOn w:val="Normal1"/>
    <w:next w:val="Normal1"/>
    <w:autoRedefine/>
    <w:uiPriority w:val="99"/>
    <w:semiHidden/>
    <w:qFormat/>
    <w:rsid w:val="00e94692"/>
    <w:pPr>
      <w:widowControl/>
      <w:ind w:hanging="220" w:left="1320"/>
      <w:jc w:val="both"/>
    </w:pPr>
    <w:rPr>
      <w:rFonts w:cs="Times New Roman"/>
      <w:lang w:bidi="ar-SA"/>
    </w:rPr>
  </w:style>
  <w:style w:type="paragraph" w:styleId="Index7">
    <w:name w:val="index 7"/>
    <w:basedOn w:val="Normal1"/>
    <w:next w:val="Normal1"/>
    <w:autoRedefine/>
    <w:uiPriority w:val="99"/>
    <w:semiHidden/>
    <w:qFormat/>
    <w:rsid w:val="00e94692"/>
    <w:pPr>
      <w:widowControl/>
      <w:ind w:hanging="220" w:left="1540"/>
      <w:jc w:val="both"/>
    </w:pPr>
    <w:rPr>
      <w:rFonts w:cs="Times New Roman"/>
      <w:lang w:bidi="ar-SA"/>
    </w:rPr>
  </w:style>
  <w:style w:type="paragraph" w:styleId="Index8">
    <w:name w:val="index 8"/>
    <w:basedOn w:val="Normal1"/>
    <w:next w:val="Normal1"/>
    <w:autoRedefine/>
    <w:uiPriority w:val="99"/>
    <w:semiHidden/>
    <w:qFormat/>
    <w:rsid w:val="00e94692"/>
    <w:pPr>
      <w:widowControl/>
      <w:ind w:hanging="220" w:left="1760"/>
      <w:jc w:val="both"/>
    </w:pPr>
    <w:rPr>
      <w:rFonts w:cs="Times New Roman"/>
      <w:lang w:bidi="ar-SA"/>
    </w:rPr>
  </w:style>
  <w:style w:type="paragraph" w:styleId="Index9">
    <w:name w:val="index 9"/>
    <w:basedOn w:val="Normal1"/>
    <w:next w:val="Normal1"/>
    <w:autoRedefine/>
    <w:uiPriority w:val="99"/>
    <w:semiHidden/>
    <w:qFormat/>
    <w:rsid w:val="00e94692"/>
    <w:pPr>
      <w:widowControl/>
      <w:ind w:hanging="220" w:left="1980"/>
      <w:jc w:val="both"/>
    </w:pPr>
    <w:rPr>
      <w:rFonts w:cs="Times New Roman"/>
      <w:lang w:bidi="ar-SA"/>
    </w:rPr>
  </w:style>
  <w:style w:type="paragraph" w:styleId="Textoindependiente32" w:customStyle="1">
    <w:name w:val="Texto independiente 32"/>
    <w:basedOn w:val="Normal1"/>
    <w:uiPriority w:val="99"/>
    <w:qFormat/>
    <w:rsid w:val="00e94692"/>
    <w:pPr>
      <w:widowControl/>
      <w:jc w:val="both"/>
    </w:pPr>
    <w:rPr>
      <w:rFonts w:cs="Times New Roman"/>
      <w:lang w:bidi="ar-SA"/>
    </w:rPr>
  </w:style>
  <w:style w:type="paragraph" w:styleId="2" w:customStyle="1">
    <w:name w:val="2"/>
    <w:basedOn w:val="Normal1"/>
    <w:next w:val="Normal1"/>
    <w:uiPriority w:val="99"/>
    <w:qFormat/>
    <w:rsid w:val="00e94692"/>
    <w:pPr>
      <w:widowControl/>
      <w:jc w:val="both"/>
    </w:pPr>
    <w:rPr>
      <w:rFonts w:cs="Times New Roman"/>
      <w:b/>
      <w:bCs/>
      <w:lang w:bidi="ar-SA"/>
    </w:rPr>
  </w:style>
  <w:style w:type="paragraph" w:styleId="Estndar" w:customStyle="1">
    <w:name w:val="Estándar"/>
    <w:uiPriority w:val="99"/>
    <w:qFormat/>
    <w:rsid w:val="00e94692"/>
    <w:pPr>
      <w:widowControl w:val="false"/>
      <w:bidi w:val="0"/>
      <w:spacing w:lineRule="auto" w:line="240" w:before="0" w:after="0"/>
      <w:ind w:left="396"/>
      <w:jc w:val="left"/>
    </w:pPr>
    <w:rPr>
      <w:rFonts w:ascii="Times New Roman" w:hAnsi="Times New Roman" w:eastAsia="Times New Roman" w:cs="Times New Roman"/>
      <w:color w:val="000000"/>
      <w:kern w:val="0"/>
      <w:sz w:val="24"/>
      <w:szCs w:val="20"/>
      <w:lang w:eastAsia="es-ES" w:val="es-ES" w:bidi="hi-IN"/>
    </w:rPr>
  </w:style>
  <w:style w:type="paragraph" w:styleId="Topo1" w:customStyle="1">
    <w:name w:val="Topo 1"/>
    <w:qFormat/>
    <w:rsid w:val="00e94692"/>
    <w:pPr>
      <w:widowControl w:val="false"/>
      <w:bidi w:val="0"/>
      <w:spacing w:lineRule="auto" w:line="240" w:before="0" w:after="0"/>
      <w:ind w:left="1008"/>
      <w:jc w:val="left"/>
    </w:pPr>
    <w:rPr>
      <w:rFonts w:ascii="Times New Roman" w:hAnsi="Times New Roman" w:eastAsia="Times New Roman" w:cs="Times New Roman"/>
      <w:color w:val="000000"/>
      <w:kern w:val="0"/>
      <w:sz w:val="24"/>
      <w:szCs w:val="20"/>
      <w:lang w:eastAsia="es-ES" w:val="es-ES" w:bidi="hi-IN"/>
    </w:rPr>
  </w:style>
  <w:style w:type="paragraph" w:styleId="Epgrafe" w:customStyle="1">
    <w:name w:val="Epígrafe"/>
    <w:basedOn w:val="Normal1"/>
    <w:next w:val="Normal1"/>
    <w:uiPriority w:val="99"/>
    <w:qFormat/>
    <w:rsid w:val="00e94692"/>
    <w:pPr>
      <w:widowControl/>
      <w:jc w:val="both"/>
    </w:pPr>
    <w:rPr>
      <w:rFonts w:cs="Times New Roman"/>
      <w:b/>
      <w:bCs/>
      <w:lang w:bidi="ar-SA"/>
    </w:rPr>
  </w:style>
  <w:style w:type="paragraph" w:styleId="Licitacion3" w:customStyle="1">
    <w:name w:val="licitacion3"/>
    <w:basedOn w:val="Normal1"/>
    <w:link w:val="Licitacion3Car"/>
    <w:qFormat/>
    <w:rsid w:val="0013500f"/>
    <w:pPr>
      <w:shd w:val="clear" w:color="auto" w:fill="FFFFFF"/>
      <w:suppressAutoHyphens w:val="true"/>
      <w:spacing w:lineRule="auto" w:line="276" w:before="317" w:after="0"/>
      <w:jc w:val="both"/>
    </w:pPr>
    <w:rPr>
      <w:rFonts w:ascii="Arial Narrow" w:hAnsi="Arial Narrow" w:cs="Times New Roman"/>
      <w:b/>
      <w:color w:val="00000A"/>
      <w:kern w:val="2"/>
      <w:szCs w:val="24"/>
      <w:u w:val="single"/>
      <w:lang w:bidi="ar-SA"/>
    </w:rPr>
  </w:style>
  <w:style w:type="paragraph" w:styleId="EndnoteText">
    <w:name w:val="Endnote Text"/>
    <w:basedOn w:val="Normal1"/>
    <w:link w:val="TextonotaalfinalCar"/>
    <w:uiPriority w:val="99"/>
    <w:semiHidden/>
    <w:unhideWhenUsed/>
    <w:rsid w:val="00534d7d"/>
    <w:pPr/>
    <w:rPr>
      <w:szCs w:val="18"/>
    </w:rPr>
  </w:style>
  <w:style w:type="paragraph" w:styleId="Prrafodelista1" w:customStyle="1">
    <w:name w:val="Párrafo de lista1"/>
    <w:basedOn w:val="Normal1"/>
    <w:qFormat/>
    <w:rsid w:val="00fa5690"/>
    <w:pPr>
      <w:suppressAutoHyphens w:val="true"/>
      <w:spacing w:before="0" w:after="0"/>
      <w:ind w:left="720"/>
      <w:contextualSpacing/>
    </w:pPr>
    <w:rPr>
      <w:rFonts w:cs="Times New Roman"/>
      <w:color w:val="00000A"/>
      <w:kern w:val="2"/>
      <w:szCs w:val="18"/>
      <w:lang w:bidi="ar-SA"/>
    </w:rPr>
  </w:style>
  <w:style w:type="paragraph" w:styleId="AqualogyVieta1" w:customStyle="1">
    <w:name w:val="Aqualogy Viñeta 1"/>
    <w:basedOn w:val="Normal1"/>
    <w:link w:val="AqualogyVieta1Car"/>
    <w:autoRedefine/>
    <w:qFormat/>
    <w:rsid w:val="00fa5690"/>
    <w:pPr>
      <w:widowControl/>
      <w:numPr>
        <w:ilvl w:val="0"/>
        <w:numId w:val="10"/>
      </w:numPr>
      <w:tabs>
        <w:tab w:val="clear" w:pos="720"/>
        <w:tab w:val="left" w:pos="566" w:leader="none"/>
      </w:tabs>
      <w:suppressAutoHyphens w:val="true"/>
      <w:spacing w:lineRule="auto" w:line="300" w:before="120" w:after="0"/>
      <w:ind w:hanging="284" w:left="568"/>
      <w:jc w:val="both"/>
    </w:pPr>
    <w:rPr>
      <w:rFonts w:ascii="Gill Sans" w:hAnsi="Gill Sans" w:cs="Times New Roman"/>
      <w:sz w:val="22"/>
      <w:szCs w:val="24"/>
      <w:lang w:val="es-ES_tradnl" w:bidi="ar-SA"/>
    </w:rPr>
  </w:style>
  <w:style w:type="paragraph" w:styleId="AqualogyTexto" w:customStyle="1">
    <w:name w:val="Aqualogy Texto"/>
    <w:basedOn w:val="Normal1"/>
    <w:qFormat/>
    <w:rsid w:val="00fa5690"/>
    <w:pPr>
      <w:widowControl/>
      <w:suppressAutoHyphens w:val="true"/>
      <w:spacing w:lineRule="auto" w:line="300" w:before="120" w:after="0"/>
      <w:jc w:val="both"/>
    </w:pPr>
    <w:rPr>
      <w:rFonts w:ascii="Gill Sans" w:hAnsi="Gill Sans" w:cs="Times New Roman"/>
      <w:sz w:val="22"/>
      <w:szCs w:val="24"/>
      <w:lang w:bidi="ar-SA"/>
    </w:rPr>
  </w:style>
  <w:style w:type="paragraph" w:styleId="Clausulado" w:customStyle="1">
    <w:name w:val="Clausulado"/>
    <w:next w:val="Normal1"/>
    <w:link w:val="ClausuladoCar"/>
    <w:qFormat/>
    <w:rsid w:val="0071734e"/>
    <w:pPr>
      <w:widowControl w:val="false"/>
      <w:numPr>
        <w:ilvl w:val="1"/>
        <w:numId w:val="11"/>
      </w:numPr>
      <w:bidi w:val="0"/>
      <w:spacing w:before="0" w:after="0"/>
      <w:jc w:val="both"/>
    </w:pPr>
    <w:rPr>
      <w:rFonts w:ascii="Book Antiqua" w:hAnsi="Book Antiqua" w:eastAsia="Times New Roman" w:cs="Times New Roman"/>
      <w:color w:val="auto"/>
      <w:kern w:val="0"/>
      <w:sz w:val="24"/>
      <w:szCs w:val="24"/>
      <w:lang w:eastAsia="es-ES" w:val="es-ES" w:bidi="hi-IN"/>
    </w:rPr>
  </w:style>
  <w:style w:type="paragraph" w:styleId="Paragraph" w:customStyle="1">
    <w:name w:val="paragraph"/>
    <w:basedOn w:val="Normal1"/>
    <w:qFormat/>
    <w:rsid w:val="00297e22"/>
    <w:pPr>
      <w:widowControl/>
      <w:spacing w:beforeAutospacing="1" w:afterAutospacing="1"/>
    </w:pPr>
    <w:rPr>
      <w:rFonts w:ascii="Times New Roman" w:hAnsi="Times New Roman" w:cs="Times New Roman"/>
      <w:szCs w:val="24"/>
      <w:lang w:bidi="ar-SA"/>
    </w:rPr>
  </w:style>
  <w:style w:type="paragraph" w:styleId="Paragraphestandard" w:customStyle="1">
    <w:name w:val="Paragraphe standard"/>
    <w:basedOn w:val="Normal1"/>
    <w:qFormat/>
    <w:rsid w:val="00fd1aaa"/>
    <w:pPr>
      <w:widowControl/>
      <w:spacing w:lineRule="auto" w:line="256" w:before="280" w:after="0"/>
      <w:jc w:val="both"/>
    </w:pPr>
    <w:rPr>
      <w:rFonts w:ascii="Calibri" w:hAnsi="Calibri" w:eastAsia="Calibri" w:cs="" w:asciiTheme="minorHAnsi" w:cstheme="minorBidi" w:eastAsiaTheme="minorHAnsi" w:hAnsiTheme="minorHAnsi"/>
      <w:sz w:val="22"/>
      <w:szCs w:val="22"/>
      <w:lang w:val="en-GB" w:eastAsia="en-US" w:bidi="ar-SA"/>
    </w:rPr>
  </w:style>
  <w:style w:type="paragraph" w:styleId="Paragraphedesuite" w:customStyle="1">
    <w:name w:val="Paragraphe de suite"/>
    <w:basedOn w:val="Paragraphestandard"/>
    <w:qFormat/>
    <w:rsid w:val="00fd1aaa"/>
    <w:pPr>
      <w:spacing w:before="80" w:after="0"/>
    </w:pPr>
    <w:rPr/>
  </w:style>
  <w:style w:type="paragraph" w:styleId="Subtitle">
    <w:name w:val="Subtitle"/>
    <w:basedOn w:val="Normal1"/>
    <w:next w:val="Normal1"/>
    <w:qFormat/>
    <w:pPr>
      <w:widowControl/>
      <w:spacing w:lineRule="auto" w:line="312" w:before="120" w:after="120"/>
      <w:jc w:val="both"/>
    </w:pPr>
    <w:rPr>
      <w:b/>
      <w:bCs/>
      <w:i/>
      <w:iCs/>
      <w:color w:val="000000"/>
      <w:sz w:val="28"/>
      <w:szCs w:val="28"/>
    </w:rPr>
  </w:style>
  <w:style w:type="numbering" w:styleId="NoList" w:default="1">
    <w:name w:val="No List"/>
    <w:uiPriority w:val="99"/>
    <w:semiHidden/>
    <w:unhideWhenUsed/>
    <w:qFormat/>
  </w:style>
  <w:style w:type="table" w:default="1" w:styleId="TableNormal">
    <w:name w:val="TableNormal"/>
    <w:tblPr>
      <w:tblCellMar>
        <w:top w:w="100" w:type="dxa"/>
        <w:left w:w="100" w:type="dxa"/>
        <w:bottom w:w="100" w:type="dxa"/>
        <w:right w:w="100" w:type="dxa"/>
      </w:tblCellMar>
    </w:tblPr>
  </w:style>
  <w:style w:type="table" w:default="1" w:styleId="TableNormal">
    <w:name w:val="Table Normal"/>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e94692"/>
    <w:pPr>
      <w:spacing w:after="0" w:line="240" w:lineRule="auto"/>
      <w:jc w:val="both"/>
    </w:pPr>
    <w:rPr>
      <w:lang w:eastAsia="es-E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Mitabla">
    <w:name w:val="Mi tabla"/>
    <w:basedOn w:val="Tablaconlista4"/>
    <w:rsid w:val="00e94692"/>
    <w:rPr>
      <w:lang w:val="ca-ES" w:eastAsia="ca-ES"/>
      <w:b/>
      <w:sz w:val="16"/>
    </w:r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cPr>
      <w:shd w:val="clear" w:color="auto" w:fill="auto"/>
    </w:tcPr>
    <w:tblStylePr w:type="firstRow">
      <w:pPr>
        <w:jc w:val="center"/>
      </w:pPr>
      <w:rPr>
        <w:b/>
        <w:bCs/>
        <w:sz w:val="16"/>
      </w:rPr>
      <w:tblPr/>
      <w:tcPr>
        <w:tcBorders>
          <w:top w:val="single" w:color="999999" w:sz="4" w:space="0"/>
          <w:left w:val="single" w:color="999999" w:sz="4" w:space="0"/>
          <w:bottom w:val="single" w:color="999999" w:sz="4" w:space="0"/>
          <w:right w:val="single" w:color="999999" w:sz="4" w:space="0"/>
          <w:insideH w:val="nil" w:sz="0" w:space="0"/>
          <w:insideV w:val="single" w:color="999999" w:sz="4" w:space="0"/>
          <w:tl2br w:val="nil" w:sz="0" w:space="0"/>
          <w:tr2bl w:val="nil" w:sz="0" w:space="0"/>
        </w:tcBorders>
        <w:shd w:val="solid" w:color="000080" w:fill="FFFFFF"/>
        <w:vAlign w:val="center"/>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pPr>
        <w:jc w:val="left"/>
      </w:pPr>
      <w:rPr>
        <w:sz w:val="16"/>
      </w:rPr>
      <w:tblPr/>
      <w:tcPr>
        <w:vAlign w:val="center"/>
      </w:tcPr>
    </w:tblStylePr>
    <w:tblStylePr w:type="band2Horz">
      <w:rPr>
        <w:sz w:val="16"/>
      </w:rPr>
      <w:tblPr/>
      <w:tcPr>
        <w:tcBorders>
          <w:top w:val="single" w:color="999999" w:sz="4" w:space="0"/>
          <w:left w:val="single" w:color="999999" w:sz="4" w:space="0"/>
          <w:bottom w:val="single" w:color="999999" w:sz="4" w:space="0"/>
          <w:right w:val="single" w:color="999999" w:sz="4" w:space="0"/>
          <w:insideH w:val="nil" w:sz="0" w:space="0"/>
          <w:insideV w:val="single" w:color="999999" w:sz="4" w:space="0"/>
          <w:tl2br w:val="nil" w:sz="0" w:space="0"/>
          <w:tr2bl w:val="nil" w:sz="0" w:space="0"/>
        </w:tcBorders>
        <w:shd w:val="clear" w:color="auto" w:fill="auto"/>
      </w:tcPr>
    </w:tblStylePr>
  </w:style>
  <w:style w:type="table" w:styleId="Tablaconlista4">
    <w:name w:val="Table List 4"/>
    <w:basedOn w:val="Tablanormal"/>
    <w:rsid w:val="00e94692"/>
    <w:pPr>
      <w:spacing w:after="0" w:line="240" w:lineRule="auto"/>
      <w:jc w:val="both"/>
    </w:pPr>
    <w:rPr>
      <w:lang w:eastAsia="es-ES"/>
      <w:sz w:val="20"/>
      <w:szCs w:val="20"/>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shd w:val="solid" w:color="808080" w:fill="FFFFFF"/>
      </w:tcPr>
    </w:tblStylePr>
  </w:style>
  <w:style w:type="table" w:styleId="Tablaconcuadrcula8">
    <w:name w:val="Table Grid 8"/>
    <w:basedOn w:val="Tablanormal"/>
    <w:rsid w:val="00e94692"/>
    <w:pPr>
      <w:spacing w:after="0" w:line="240" w:lineRule="auto"/>
      <w:jc w:val="both"/>
    </w:pPr>
    <w:rPr>
      <w:lang w:eastAsia="es-ES"/>
      <w:sz w:val="20"/>
      <w:szCs w:val="20"/>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rPr>
      <w:tblPr/>
      <w:tcPr>
        <w:tcBorders>
          <w:tl2br w:val="none" w:color="auto" w:sz="0" w:space="0"/>
          <w:tr2bl w:val="none" w:color="auto" w:sz="0" w:space="0"/>
        </w:tcBorders>
        <w:shd w:val="solid" w:color="00008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Listamedia2-nfasis1">
    <w:name w:val="Medium List 2 Accent 1"/>
    <w:basedOn w:val="Tablanormal"/>
    <w:uiPriority w:val="66"/>
    <w:rsid w:val="00e94692"/>
    <w:pPr>
      <w:spacing w:after="0" w:line="240" w:lineRule="auto"/>
    </w:pPr>
    <w:rPr>
      <w:lang w:eastAsia="es-ES"/>
    </w:rPr>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sz="0" w:space="0"/>
          <w:left w:val="nil" w:sz="0" w:space="0"/>
          <w:bottom w:val="single" w:color="4F81BD" w:sz="24" w:space="0"/>
          <w:right w:val="nil" w:sz="0" w:space="0"/>
          <w:insideH w:val="nil" w:sz="0" w:space="0"/>
          <w:insideV w:val="nil" w:sz="0" w:space="0"/>
        </w:tcBorders>
        <w:shd w:val="clear" w:color="auto" w:fill="FFFFFF"/>
      </w:tcPr>
    </w:tblStylePr>
    <w:tblStylePr w:type="lastRow">
      <w:tblPr/>
      <w:tcPr>
        <w:tcBorders>
          <w:top w:val="single" w:color="4F81BD" w:sz="8" w:space="0"/>
          <w:left w:val="nil" w:sz="0" w:space="0"/>
          <w:bottom w:val="nil" w:sz="0" w:space="0"/>
          <w:right w:val="nil" w:sz="0" w:space="0"/>
          <w:insideH w:val="nil" w:sz="0" w:space="0"/>
          <w:insideV w:val="nil" w:sz="0" w:space="0"/>
        </w:tcBorders>
        <w:shd w:val="clear" w:color="auto" w:fill="FFFFFF"/>
      </w:tcPr>
    </w:tblStylePr>
    <w:tblStylePr w:type="firstCol">
      <w:tblPr/>
      <w:tcPr>
        <w:tcBorders>
          <w:top w:val="nil" w:sz="0" w:space="0"/>
          <w:left w:val="nil" w:sz="0" w:space="0"/>
          <w:bottom w:val="nil" w:sz="0" w:space="0"/>
          <w:right w:val="single" w:color="4F81BD" w:sz="8" w:space="0"/>
          <w:insideH w:val="nil" w:sz="0" w:space="0"/>
          <w:insideV w:val="nil" w:sz="0" w:space="0"/>
        </w:tcBorders>
        <w:shd w:val="clear" w:color="auto" w:fill="FFFFFF"/>
      </w:tcPr>
    </w:tblStylePr>
    <w:tblStylePr w:type="lastCol">
      <w:tblPr/>
      <w:tcPr>
        <w:tcBorders>
          <w:top w:val="nil" w:sz="0" w:space="0"/>
          <w:left w:val="single" w:color="4F81BD" w:sz="8" w:space="0"/>
          <w:bottom w:val="nil" w:sz="0" w:space="0"/>
          <w:right w:val="nil" w:sz="0" w:space="0"/>
          <w:insideH w:val="nil" w:sz="0" w:space="0"/>
          <w:insideV w:val="nil" w:sz="0" w:space="0"/>
        </w:tcBorders>
        <w:shd w:val="clear" w:color="auto" w:fill="FFFFFF"/>
      </w:tcPr>
    </w:tblStylePr>
    <w:tblStylePr w:type="band1Vert">
      <w:tblPr/>
      <w:tcPr>
        <w:tcBorders>
          <w:left w:val="nil" w:sz="0" w:space="0"/>
          <w:right w:val="nil" w:sz="0" w:space="0"/>
          <w:insideH w:val="nil" w:sz="0" w:space="0"/>
          <w:insideV w:val="nil" w:sz="0" w:space="0"/>
        </w:tcBorders>
        <w:shd w:val="clear" w:color="auto" w:fill="D3DFEE"/>
      </w:tcPr>
    </w:tblStylePr>
    <w:tblStylePr w:type="band1Horz">
      <w:tblPr/>
      <w:tcPr>
        <w:tcBorders>
          <w:top w:val="nil" w:sz="0" w:space="0"/>
          <w:bottom w:val="nil" w:sz="0" w:space="0"/>
          <w:insideH w:val="nil" w:sz="0" w:space="0"/>
          <w:insideV w:val="nil" w:sz="0" w:space="0"/>
        </w:tcBorders>
        <w:shd w:val="clear" w:color="auto" w:fill="D3DFEE"/>
      </w:tcPr>
    </w:tblStylePr>
    <w:tblStylePr w:type="nwCell">
      <w:tblPr/>
      <w:tcPr>
        <w:shd w:val="clear" w:color="auto" w:fill="FFFFFF"/>
      </w:tcPr>
    </w:tblStylePr>
    <w:tblStylePr w:type="swCell">
      <w:tblPr/>
      <w:tcPr>
        <w:tcBorders>
          <w:top w:val="nil" w:sz="0" w:space="0"/>
        </w:tcBorders>
      </w:tcPr>
    </w:tblStylePr>
  </w:style>
  <w:style w:type="table" w:customStyle="1" w:styleId="Listamedia2-nfasis11">
    <w:name w:val="Lista media 2 - Énfasis 11"/>
    <w:basedOn w:val="Tablanormal"/>
    <w:uiPriority w:val="66"/>
    <w:rsid w:val="00e94692"/>
    <w:pPr>
      <w:spacing w:after="0" w:line="240" w:lineRule="auto"/>
    </w:pPr>
    <w:rPr>
      <w:lang w:eastAsia="es-ES"/>
    </w:rPr>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sz="0" w:space="0"/>
          <w:left w:val="nil" w:sz="0" w:space="0"/>
          <w:bottom w:val="single" w:color="4F81BD" w:sz="24" w:space="0"/>
          <w:right w:val="nil" w:sz="0" w:space="0"/>
          <w:insideH w:val="nil" w:sz="0" w:space="0"/>
          <w:insideV w:val="nil" w:sz="0" w:space="0"/>
        </w:tcBorders>
        <w:shd w:val="clear" w:color="auto" w:fill="FFFFFF"/>
      </w:tcPr>
    </w:tblStylePr>
    <w:tblStylePr w:type="lastRow">
      <w:tblPr/>
      <w:tcPr>
        <w:tcBorders>
          <w:top w:val="single" w:color="4F81BD" w:sz="8" w:space="0"/>
          <w:left w:val="nil" w:sz="0" w:space="0"/>
          <w:bottom w:val="nil" w:sz="0" w:space="0"/>
          <w:right w:val="nil" w:sz="0" w:space="0"/>
          <w:insideH w:val="nil" w:sz="0" w:space="0"/>
          <w:insideV w:val="nil" w:sz="0" w:space="0"/>
        </w:tcBorders>
        <w:shd w:val="clear" w:color="auto" w:fill="FFFFFF"/>
      </w:tcPr>
    </w:tblStylePr>
    <w:tblStylePr w:type="firstCol">
      <w:tblPr/>
      <w:tcPr>
        <w:tcBorders>
          <w:top w:val="nil" w:sz="0" w:space="0"/>
          <w:left w:val="nil" w:sz="0" w:space="0"/>
          <w:bottom w:val="nil" w:sz="0" w:space="0"/>
          <w:right w:val="single" w:color="4F81BD" w:sz="8" w:space="0"/>
          <w:insideH w:val="nil" w:sz="0" w:space="0"/>
          <w:insideV w:val="nil" w:sz="0" w:space="0"/>
        </w:tcBorders>
        <w:shd w:val="clear" w:color="auto" w:fill="FFFFFF"/>
      </w:tcPr>
    </w:tblStylePr>
    <w:tblStylePr w:type="lastCol">
      <w:tblPr/>
      <w:tcPr>
        <w:tcBorders>
          <w:top w:val="nil" w:sz="0" w:space="0"/>
          <w:left w:val="single" w:color="4F81BD" w:sz="8" w:space="0"/>
          <w:bottom w:val="nil" w:sz="0" w:space="0"/>
          <w:right w:val="nil" w:sz="0" w:space="0"/>
          <w:insideH w:val="nil" w:sz="0" w:space="0"/>
          <w:insideV w:val="nil" w:sz="0" w:space="0"/>
        </w:tcBorders>
        <w:shd w:val="clear" w:color="auto" w:fill="FFFFFF"/>
      </w:tcPr>
    </w:tblStylePr>
    <w:tblStylePr w:type="band1Vert">
      <w:tblPr/>
      <w:tcPr>
        <w:tcBorders>
          <w:left w:val="nil" w:sz="0" w:space="0"/>
          <w:right w:val="nil" w:sz="0" w:space="0"/>
          <w:insideH w:val="nil" w:sz="0" w:space="0"/>
          <w:insideV w:val="nil" w:sz="0" w:space="0"/>
        </w:tcBorders>
        <w:shd w:val="clear" w:color="auto" w:fill="D3DFEE"/>
      </w:tcPr>
    </w:tblStylePr>
    <w:tblStylePr w:type="band1Horz">
      <w:tblPr/>
      <w:tcPr>
        <w:tcBorders>
          <w:top w:val="nil" w:sz="0" w:space="0"/>
          <w:bottom w:val="nil" w:sz="0" w:space="0"/>
          <w:insideH w:val="nil" w:sz="0" w:space="0"/>
          <w:insideV w:val="nil" w:sz="0" w:space="0"/>
        </w:tcBorders>
        <w:shd w:val="clear" w:color="auto" w:fill="D3DFEE"/>
      </w:tcPr>
    </w:tblStylePr>
    <w:tblStylePr w:type="nwCell">
      <w:tblPr/>
      <w:tcPr>
        <w:shd w:val="clear" w:color="auto" w:fill="FFFFFF"/>
      </w:tcPr>
    </w:tblStylePr>
    <w:tblStylePr w:type="swCell">
      <w:tblPr/>
      <w:tcPr>
        <w:tcBorders>
          <w:top w:val="nil" w:sz="0"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Relationship Id="rId22" Type="http://schemas.openxmlformats.org/officeDocument/2006/relationships/font" Target="fonts/font22.odttf"/><Relationship Id="rId23" Type="http://schemas.openxmlformats.org/officeDocument/2006/relationships/font" Target="fonts/font23.odttf"/><Relationship Id="rId24" Type="http://schemas.openxmlformats.org/officeDocument/2006/relationships/font" Target="fonts/font24.odttf"/><Relationship Id="rId25" Type="http://schemas.openxmlformats.org/officeDocument/2006/relationships/font" Target="fonts/font25.odttf"/><Relationship Id="rId26" Type="http://schemas.openxmlformats.org/officeDocument/2006/relationships/font" Target="fonts/font26.odttf"/><Relationship Id="rId27" Type="http://schemas.openxmlformats.org/officeDocument/2006/relationships/font" Target="fonts/font27.odttf"/><Relationship Id="rId28" Type="http://schemas.openxmlformats.org/officeDocument/2006/relationships/font" Target="fonts/font28.odttf"/><Relationship Id="rId29" Type="http://schemas.openxmlformats.org/officeDocument/2006/relationships/font" Target="fonts/font29.odttf"/><Relationship Id="rId30" Type="http://schemas.openxmlformats.org/officeDocument/2006/relationships/font" Target="fonts/font30.odttf"/><Relationship Id="rId31" Type="http://schemas.openxmlformats.org/officeDocument/2006/relationships/font" Target="fonts/font31.odttf"/><Relationship Id="rId32" Type="http://schemas.openxmlformats.org/officeDocument/2006/relationships/font" Target="fonts/font32.odttf"/><Relationship Id="rId33" Type="http://schemas.openxmlformats.org/officeDocument/2006/relationships/font" Target="fonts/font33.odttf"/><Relationship Id="rId34" Type="http://schemas.openxmlformats.org/officeDocument/2006/relationships/font" Target="fonts/font34.odttf"/><Relationship Id="rId35" Type="http://schemas.openxmlformats.org/officeDocument/2006/relationships/font" Target="fonts/font35.odttf"/><Relationship Id="rId36" Type="http://schemas.openxmlformats.org/officeDocument/2006/relationships/font" Target="fonts/font36.odttf"/><Relationship Id="rId37" Type="http://schemas.openxmlformats.org/officeDocument/2006/relationships/font" Target="fonts/font37.odttf"/><Relationship Id="rId38" Type="http://schemas.openxmlformats.org/officeDocument/2006/relationships/font" Target="fonts/font38.odttf"/><Relationship Id="rId39" Type="http://schemas.openxmlformats.org/officeDocument/2006/relationships/font" Target="fonts/font39.odttf"/><Relationship Id="rId40" Type="http://schemas.openxmlformats.org/officeDocument/2006/relationships/font" Target="fonts/font40.odttf"/><Relationship Id="rId41" Type="http://schemas.openxmlformats.org/officeDocument/2006/relationships/font" Target="fonts/font41.odttf"/><Relationship Id="rId42" Type="http://schemas.openxmlformats.org/officeDocument/2006/relationships/font" Target="fonts/font42.odttf"/><Relationship Id="rId43" Type="http://schemas.openxmlformats.org/officeDocument/2006/relationships/font" Target="fonts/font43.odttf"/><Relationship Id="rId44" Type="http://schemas.openxmlformats.org/officeDocument/2006/relationships/font" Target="fonts/font44.odttf"/><Relationship Id="rId45" Type="http://schemas.openxmlformats.org/officeDocument/2006/relationships/font" Target="fonts/font45.odttf"/>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cqt7GtQ6js+KEOPuIZ+L6hT/9Og==">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54</TotalTime>
  <Application>LibreOffice/7.6.6.3$Windows_X86_64 LibreOffice_project/d97b2716a9a4a2ce1391dee1765565ea469b0ae7</Application>
  <AppVersion>15.0000</AppVersion>
  <Pages>30</Pages>
  <Words>8852</Words>
  <Characters>48901</Characters>
  <CharactersWithSpaces>57623</CharactersWithSpaces>
  <Paragraphs>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2022-04-27T17:49:00Z</dcterms:created>
  <dc:creator>Encarna Casas López</dc:creator>
  <dc:description/>
  <dc:language>es-ES</dc:language>
  <cp:lastModifiedBy/>
  <dcterms:modified xsi:type="dcterms:W3CDTF">2026-01-08T11:21:16Z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0x01010093FF16201F3FCE4CA1CDFBCC937733B5</vt:lpwstr>
  </property>
  <property fmtid="{D5CDD505-2E9C-101B-9397-08002B2CF9AE}" pid="3" name="Temas relacionados">
    <vt:lpwstr/>
  </property>
</Properties>
</file>