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after="200" w:line="276" w:lineRule="auto"/>
        <w:rPr>
          <w:rFonts w:ascii="Calibri" w:cs="Calibri" w:eastAsia="Calibri" w:hAnsi="Calibri"/>
          <w:b w:val="1"/>
          <w:bCs w:val="1"/>
          <w:smallCaps w:val="1"/>
          <w:sz w:val="24"/>
          <w:szCs w:val="24"/>
          <w:highlight w:val="green"/>
          <w:u w:val="single"/>
        </w:rPr>
      </w:pPr>
      <w:bookmarkStart w:colFirst="0" w:colLast="0" w:name="_heading=h.53a5l78rbav6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502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NÚM. 1: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green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TERMINOS MUNICIPALES Y SUBZONAS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8891140" cy="4203700"/>
            <wp:effectExtent b="0" l="0" r="0" t="0"/>
            <wp:docPr id="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91140" cy="420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200" w:line="276" w:lineRule="auto"/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8891140" cy="3073400"/>
            <wp:effectExtent b="0" l="0" r="0" t="0"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91140" cy="307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8886825" cy="4239577"/>
            <wp:effectExtent b="0" l="0" r="0" t="0"/>
            <wp:docPr id="1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6825" cy="42395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2152650</wp:posOffset>
            </wp:positionH>
            <wp:positionV relativeFrom="paragraph">
              <wp:posOffset>4286250</wp:posOffset>
            </wp:positionV>
            <wp:extent cx="2162175" cy="352425"/>
            <wp:effectExtent b="0" l="0" r="0" t="0"/>
            <wp:wrapNone/>
            <wp:docPr id="1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52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after="200" w:line="276" w:lineRule="auto"/>
        <w:rPr>
          <w:sz w:val="24"/>
          <w:szCs w:val="24"/>
        </w:rPr>
        <w:sectPr>
          <w:headerReference r:id="rId11" w:type="default"/>
          <w:footerReference r:id="rId12" w:type="default"/>
          <w:pgSz w:h="11907" w:w="16839" w:orient="landscape"/>
          <w:pgMar w:bottom="1418" w:top="1418" w:left="2692.9133858267714" w:right="1701" w:header="709" w:footer="709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NÚM. 2: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green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PUNTOS A INSPECCIONAR EN CADA VISITA DE OBRA Y SISTEMA DE PUNTUACIÓN</w:t>
      </w:r>
    </w:p>
    <w:p w:rsidR="00000000" w:rsidDel="00000000" w:rsidP="00000000" w:rsidRDefault="00000000" w:rsidRPr="00000000" w14:paraId="0000001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 cada visita de obra se inspeccionarán los siguientes puntos (listado no exhaustivo):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4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Señalización vial y de seguridad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Señalización vial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Señalización de seguridad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Vallado, accesos y balizado de obra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Vallado de obra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Accesos de obra (peatones y vehículos)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Balizado de obra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Orden y limpieza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Acopio de materiales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Orden y limpieza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Botiquín primeros auxilios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Medidas de evacuación y emergencia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Instalaciones de higiene y bienestar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Maquinaria, herramientas e instalaciones eléctricas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Maquinaria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Medios auxiliares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Herramientas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00" w:right="0" w:hanging="432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Instalación eléctrica provisional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Protecciones colectivas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hanging="36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Protecciones individuales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before="264" w:line="276" w:lineRule="auto"/>
        <w:ind w:left="708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Para cada uno de estos puntos se dará una puntuación desde E1 a A10 según la siguiente tabla. La introducción de cada uno de estos valores en un modelo matemático tipo excel da a lugar a la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puntuación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de cumplimiento del estado de la obra. Expresado en porcentaje.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500.0" w:type="dxa"/>
        <w:jc w:val="center"/>
        <w:tblLayout w:type="fixed"/>
        <w:tblLook w:val="0400"/>
      </w:tblPr>
      <w:tblGrid>
        <w:gridCol w:w="1820"/>
        <w:gridCol w:w="1380"/>
        <w:gridCol w:w="1300"/>
        <w:tblGridChange w:id="0">
          <w:tblGrid>
            <w:gridCol w:w="1820"/>
            <w:gridCol w:w="1380"/>
            <w:gridCol w:w="130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4472c4" w:val="clear"/>
            <w:vAlign w:val="bottom"/>
          </w:tcPr>
          <w:p w:rsidR="00000000" w:rsidDel="00000000" w:rsidP="00000000" w:rsidRDefault="00000000" w:rsidRPr="00000000" w14:paraId="00000031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VALORACIÓN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4" w:val="single"/>
            </w:tcBorders>
            <w:shd w:fill="4472c4" w:val="clear"/>
            <w:vAlign w:val="bottom"/>
          </w:tcPr>
          <w:p w:rsidR="00000000" w:rsidDel="00000000" w:rsidP="00000000" w:rsidRDefault="00000000" w:rsidRPr="00000000" w14:paraId="00000032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NOTA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4472c4" w:val="clear"/>
            <w:vAlign w:val="bottom"/>
          </w:tcPr>
          <w:p w:rsidR="00000000" w:rsidDel="00000000" w:rsidP="00000000" w:rsidRDefault="00000000" w:rsidRPr="00000000" w14:paraId="00000033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GRADOS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4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 APLICA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5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F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6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7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MUY DEFICIENTE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8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9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1 -10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INSUFICIENTE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1 -10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ACEPTABLE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1 -10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BUENO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2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1 -10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3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EXCELENTE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4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5">
            <w:pPr>
              <w:widowControl w:val="1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1 -10</w:t>
            </w:r>
          </w:p>
        </w:tc>
      </w:tr>
    </w:tbl>
    <w:p w:rsidR="00000000" w:rsidDel="00000000" w:rsidP="00000000" w:rsidRDefault="00000000" w:rsidRPr="00000000" w14:paraId="00000046">
      <w:pPr>
        <w:widowControl w:val="1"/>
        <w:spacing w:after="200" w:line="276" w:lineRule="auto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NÚM. 3: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green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CONTROL DOCUMENTAL DE LAS OBRAS</w:t>
      </w:r>
    </w:p>
    <w:p w:rsidR="00000000" w:rsidDel="00000000" w:rsidP="00000000" w:rsidRDefault="00000000" w:rsidRPr="00000000" w14:paraId="00000048">
      <w:pPr>
        <w:widowControl w:val="1"/>
        <w:spacing w:after="200" w:line="276" w:lineRule="auto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before="264" w:line="228" w:lineRule="auto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DOCUMENTACIÓN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PREVENCIÓN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before="264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Se adjunta a continuación un listado de la documentación posible a solicitar a los contratistas y subcontratistas, mediante un archivo de Excel se evalúa el nivel de cumplimentación de la documentación exigible y la realmente entregada por la empresa. La ausencia de alguno de los elementos (que se consideran de extrema importancia comportará la tramitación automática de una penalización a la empresa contratista)</w:t>
      </w:r>
    </w:p>
    <w:p w:rsidR="00000000" w:rsidDel="00000000" w:rsidP="00000000" w:rsidRDefault="00000000" w:rsidRPr="00000000" w14:paraId="0000004B">
      <w:pPr>
        <w:spacing w:before="264" w:line="228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8"/>
        <w:gridCol w:w="3264"/>
        <w:gridCol w:w="3227"/>
        <w:tblGridChange w:id="0">
          <w:tblGrid>
            <w:gridCol w:w="1998"/>
            <w:gridCol w:w="3264"/>
            <w:gridCol w:w="3227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C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4f81bd" w:val="clear"/>
            <w:vAlign w:val="bottom"/>
          </w:tcPr>
          <w:p w:rsidR="00000000" w:rsidDel="00000000" w:rsidP="00000000" w:rsidRDefault="00000000" w:rsidRPr="00000000" w14:paraId="0000004D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CONTRATISTA PRINCIPAL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4f81bd" w:val="clear"/>
            <w:vAlign w:val="bottom"/>
          </w:tcPr>
          <w:p w:rsidR="00000000" w:rsidDel="00000000" w:rsidP="00000000" w:rsidRDefault="00000000" w:rsidRPr="00000000" w14:paraId="0000004E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SUBCONTRATISTAS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DOCUMENTACIÓN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GENERAL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Seguro de responsabilidad Civil (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Seguro de responsabilidad Civil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Seguro de accidentes de trabajo de convenio (si procede-Póliza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Seguro de accidentes de trabajo de convenio (si procede-Póliza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Contrato Servicio de Prevención ajeno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7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Contrato Servicio de Prevención ajeno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Documento de asociación a Mutua de accidentes de trabajo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A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Documento de asociación a Mutua de accidentes de trabajo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Inscripción REA (Registro de empresas Acreditadas)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D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Inscripción REA (Registro de empresas Acreditadas)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 de cotización a la seguridad social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 de cotización a la seguridad social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 de prevención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 de prevención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Evaluación de riesgos de la empresa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Evaluación de riesgos de la empresa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DOCUMENTACIÓN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GENERAL OBRA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Comunicación inicio de obra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B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 de seguridad y salud/memoria de medidas preventivas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Libro de incidencias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Libro de subcontratación cumplimentado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Apertura de centro de trabajo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7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Listado de personal adscrito a la obra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Listado de personal adscrito a la obra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Listado de maquinaria, instalaciones y equipos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B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Listado de maquinaria, instalaciones y equipos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D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Nombramiento del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recurso preventivo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Aprobación del PSS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Actas de adhesión al PSS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Actas de adhesión al PSS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Actas de reuniones de coordinación de SyS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7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Actas de reuniones de coordinación de CAE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Planning de Seguridad y salud en la obra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D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 de evacuación y emergencia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Creación de la comisión de seguridad y salud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 EICI montaje de instalación eléctrica provisional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Fichas de seguridad de productos tóxicos o peligrosos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B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Planificación de control de accesos a obra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Modificaciones al Plan y actas de aprobación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DOCUMENTACIÓN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ESPECÍFICA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DE OBRA: PERSONAL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entrega de EPI's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entrega de EPI's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Autorización de uso de equipos de trabajo y maquinaria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Autorización de uso de equipos de trabajo y maquinaria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7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formación en PRL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formación en PRL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información de riesgos específicos (PSSS/EER) y medidas de emergencia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B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información de formación específicos (PSS/EER) y medidas de emergencia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D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formación en uso de maquinaria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de formación en uso de maquinaria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Actas de nombramiento de recursos preventivos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Actas de nombramiento de recursos preventivos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Alta en la S.S del personal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Alta en la S.S del personal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 de reconocimiento médico.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7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 de reconocimiento médico.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DOCUMENTACIÓN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ESPECÍFICA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 DE OBRA: MAQUINARIA Y MEDIOS AUXILIARES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Manuales de equipos y maquinaria en castellano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Manuales de equipos y maquinaria en castellano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Libros de mantenimiento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D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Libros de mantenimiento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manuales de instrucciones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manuales de instrucciones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Declaración de conformidad 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3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Declaración de conformidad CE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Seguros de responsabilidad civil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Seguros de responsabilidad civil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(póliza y justificante de pago en vigor)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Inspecciones técnicas de vehículos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9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Inspecciones técnicas de vehículos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B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Tarjetas de transporte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Tarjetas de transporte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Carne de conducir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F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Carne de conducir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1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OCA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Certificados OCA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Documentación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Legal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específica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de grúas y andamios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5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Documentación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Legal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específica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de grúas y andamios</w:t>
            </w:r>
          </w:p>
        </w:tc>
      </w:tr>
    </w:tbl>
    <w:p w:rsidR="00000000" w:rsidDel="00000000" w:rsidP="00000000" w:rsidRDefault="00000000" w:rsidRPr="00000000" w14:paraId="000000D6">
      <w:pPr>
        <w:widowControl w:val="1"/>
        <w:spacing w:after="200" w:line="276" w:lineRule="auto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ANEXO NÚM.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green"/>
          <w:u w:val="single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EMPRESAS DEL GRUPO VEO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LIA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PARTICIPANTES EN EL ACUERDO MARCO</w:t>
      </w:r>
    </w:p>
    <w:p w:rsidR="00000000" w:rsidDel="00000000" w:rsidP="00000000" w:rsidRDefault="00000000" w:rsidRPr="00000000" w14:paraId="000000DA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76" w:lineRule="auto"/>
        <w:ind w:left="502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5"/>
        <w:gridCol w:w="1979"/>
        <w:tblGridChange w:id="0">
          <w:tblGrid>
            <w:gridCol w:w="6515"/>
            <w:gridCol w:w="1979"/>
          </w:tblGrid>
        </w:tblGridChange>
      </w:tblGrid>
      <w:tr>
        <w:trPr>
          <w:cantSplit w:val="0"/>
          <w:tblHeader w:val="0"/>
        </w:trPr>
        <w:tc>
          <w:tcPr>
            <w:shd w:fill="4f81bd" w:val="clear"/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SOCIEDAD</w:t>
            </w:r>
          </w:p>
        </w:tc>
        <w:tc>
          <w:tcPr>
            <w:shd w:fill="4f81bd" w:val="clear"/>
          </w:tcPr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CIF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Vega-Sierra Elvira, S.A. (AGUASVIRA)</w:t>
            </w:r>
          </w:p>
        </w:tc>
        <w:tc>
          <w:tcPr/>
          <w:p w:rsidR="00000000" w:rsidDel="00000000" w:rsidP="00000000" w:rsidRDefault="00000000" w:rsidRPr="00000000" w14:paraId="000000D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A18502591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y Saneamientos de Torremolinos, S.A.</w:t>
            </w:r>
          </w:p>
        </w:tc>
        <w:tc>
          <w:tcPr/>
          <w:p w:rsidR="00000000" w:rsidDel="00000000" w:rsidP="00000000" w:rsidRDefault="00000000" w:rsidRPr="00000000" w14:paraId="000000E0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A29453768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Hidralia, Gestión Integral de Aguas de Andalucía, S.A.</w:t>
            </w:r>
          </w:p>
        </w:tc>
        <w:tc>
          <w:tcPr/>
          <w:p w:rsidR="00000000" w:rsidDel="00000000" w:rsidP="00000000" w:rsidRDefault="00000000" w:rsidRPr="00000000" w14:paraId="000000E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A41461856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3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 Cieza, S.A.</w:t>
            </w:r>
          </w:p>
        </w:tc>
        <w:tc>
          <w:tcPr/>
          <w:p w:rsidR="00000000" w:rsidDel="00000000" w:rsidP="00000000" w:rsidRDefault="00000000" w:rsidRPr="00000000" w14:paraId="000000E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A30383269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5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 Jumilla, S.A.</w:t>
            </w:r>
          </w:p>
        </w:tc>
        <w:tc>
          <w:tcPr/>
          <w:p w:rsidR="00000000" w:rsidDel="00000000" w:rsidP="00000000" w:rsidRDefault="00000000" w:rsidRPr="00000000" w14:paraId="000000E6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A73086852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7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 Lorca, S.A.</w:t>
            </w:r>
          </w:p>
        </w:tc>
        <w:tc>
          <w:tcPr/>
          <w:p w:rsidR="00000000" w:rsidDel="00000000" w:rsidP="00000000" w:rsidRDefault="00000000" w:rsidRPr="00000000" w14:paraId="000000E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A30575674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Hidrogea, Gestión Integral de Aguas de Murcia, S.A.</w:t>
            </w:r>
          </w:p>
        </w:tc>
        <w:tc>
          <w:tcPr/>
          <w:p w:rsidR="00000000" w:rsidDel="00000000" w:rsidP="00000000" w:rsidRDefault="00000000" w:rsidRPr="00000000" w14:paraId="000000E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A73468498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B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Sermubeniel, S.A.</w:t>
            </w:r>
          </w:p>
        </w:tc>
        <w:tc>
          <w:tcPr/>
          <w:p w:rsidR="00000000" w:rsidDel="00000000" w:rsidP="00000000" w:rsidRDefault="00000000" w:rsidRPr="00000000" w14:paraId="000000E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A73312100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D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del Arco Mediterráneo, S.A. (AGAMED)</w:t>
            </w:r>
          </w:p>
        </w:tc>
        <w:tc>
          <w:tcPr/>
          <w:p w:rsidR="00000000" w:rsidDel="00000000" w:rsidP="00000000" w:rsidRDefault="00000000" w:rsidRPr="00000000" w14:paraId="000000E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A53296380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EF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Municipalizadas de Alicante, Empresa Mixta, S.A.</w:t>
            </w:r>
          </w:p>
        </w:tc>
        <w:tc>
          <w:tcPr/>
          <w:p w:rsidR="00000000" w:rsidDel="00000000" w:rsidP="00000000" w:rsidRDefault="00000000" w:rsidRPr="00000000" w14:paraId="000000F0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B03002441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1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Aigües de Cullera, S.A.</w:t>
            </w:r>
          </w:p>
        </w:tc>
        <w:tc>
          <w:tcPr/>
          <w:p w:rsidR="00000000" w:rsidDel="00000000" w:rsidP="00000000" w:rsidRDefault="00000000" w:rsidRPr="00000000" w14:paraId="000000F2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A96124177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3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Aigües Municipals de Paterna, S.A.</w:t>
            </w:r>
          </w:p>
        </w:tc>
        <w:tc>
          <w:tcPr/>
          <w:p w:rsidR="00000000" w:rsidDel="00000000" w:rsidP="00000000" w:rsidRDefault="00000000" w:rsidRPr="00000000" w14:paraId="000000F4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A97727853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5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Empresa Mixta Aigües de l'Horta, S.A.</w:t>
            </w:r>
          </w:p>
        </w:tc>
        <w:tc>
          <w:tcPr/>
          <w:p w:rsidR="00000000" w:rsidDel="00000000" w:rsidP="00000000" w:rsidRDefault="00000000" w:rsidRPr="00000000" w14:paraId="000000F6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A96523329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7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Hidraqua, Gestión Integral de Aguas de Levante, S.A.</w:t>
            </w:r>
          </w:p>
        </w:tc>
        <w:tc>
          <w:tcPr/>
          <w:p w:rsidR="00000000" w:rsidDel="00000000" w:rsidP="00000000" w:rsidRDefault="00000000" w:rsidRPr="00000000" w14:paraId="000000F8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A53223764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9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Empresa Municipal de Aguas y Saneamiento de Murcia, S.A.</w:t>
            </w:r>
          </w:p>
        </w:tc>
        <w:tc>
          <w:tcPr/>
          <w:p w:rsidR="00000000" w:rsidDel="00000000" w:rsidP="00000000" w:rsidRDefault="00000000" w:rsidRPr="00000000" w14:paraId="000000FA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A30054209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B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Aigües i Sanejament d’Elx, S.A.</w:t>
            </w:r>
          </w:p>
        </w:tc>
        <w:tc>
          <w:tcPr/>
          <w:p w:rsidR="00000000" w:rsidDel="00000000" w:rsidP="00000000" w:rsidRDefault="00000000" w:rsidRPr="00000000" w14:paraId="000000FC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A53555967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D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 Benahavís, S.A.</w:t>
            </w:r>
          </w:p>
        </w:tc>
        <w:tc>
          <w:tcPr/>
          <w:p w:rsidR="00000000" w:rsidDel="00000000" w:rsidP="00000000" w:rsidRDefault="00000000" w:rsidRPr="00000000" w14:paraId="000000FE">
            <w:pPr>
              <w:widowControl w:val="1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A93026680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FF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UTE Hidralia Veolia Copero</w:t>
            </w:r>
          </w:p>
        </w:tc>
        <w:tc>
          <w:tcPr/>
          <w:p w:rsidR="00000000" w:rsidDel="00000000" w:rsidP="00000000" w:rsidRDefault="00000000" w:rsidRPr="00000000" w14:paraId="00000100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U19492164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01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Aguas de Montilla, S.A.</w:t>
            </w:r>
          </w:p>
        </w:tc>
        <w:tc>
          <w:tcPr/>
          <w:p w:rsidR="00000000" w:rsidDel="00000000" w:rsidP="00000000" w:rsidRDefault="00000000" w:rsidRPr="00000000" w14:paraId="00000102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A14724355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03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SOREA, Sociedad Regional de Abastecimiento de Aguas, S.A.U.</w:t>
            </w:r>
          </w:p>
        </w:tc>
        <w:tc>
          <w:tcPr/>
          <w:p w:rsidR="00000000" w:rsidDel="00000000" w:rsidP="00000000" w:rsidRDefault="00000000" w:rsidRPr="00000000" w14:paraId="00000104">
            <w:pPr>
              <w:widowControl w:val="1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A08146367</w:t>
            </w:r>
          </w:p>
        </w:tc>
      </w:tr>
    </w:tbl>
    <w:p w:rsidR="00000000" w:rsidDel="00000000" w:rsidP="00000000" w:rsidRDefault="00000000" w:rsidRPr="00000000" w14:paraId="00000105">
      <w:pPr>
        <w:rPr>
          <w:rFonts w:ascii="Calibri" w:cs="Calibri" w:eastAsia="Calibri" w:hAnsi="Calibri"/>
          <w:sz w:val="24"/>
          <w:szCs w:val="24"/>
        </w:rPr>
        <w:sectPr>
          <w:type w:val="nextPage"/>
          <w:pgSz w:h="16839" w:w="11907" w:orient="portrait"/>
          <w:pgMar w:bottom="1418" w:top="1418" w:left="1701" w:right="1701" w:header="709" w:footer="709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clqy1p1qvlo3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núm 5: Definición de posiciones para el seguimiento del contrato</w:t>
      </w:r>
    </w:p>
    <w:p w:rsidR="00000000" w:rsidDel="00000000" w:rsidP="00000000" w:rsidRDefault="00000000" w:rsidRPr="00000000" w14:paraId="00000107">
      <w:pPr>
        <w:spacing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1wo2riq1zqww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ci98uw7wed1e" w:id="3"/>
      <w:bookmarkEnd w:id="3"/>
      <w:r w:rsidDel="00000000" w:rsidR="00000000" w:rsidRPr="00000000">
        <w:rPr>
          <w:rtl w:val="0"/>
        </w:rPr>
      </w:r>
    </w:p>
    <w:sdt>
      <w:sdtPr>
        <w:lock w:val="contentLocked"/>
        <w:id w:val="361571944"/>
        <w:tag w:val="goog_rdk_0"/>
      </w:sdtPr>
      <w:sdtContent>
        <w:tbl>
          <w:tblPr>
            <w:tblStyle w:val="Table4"/>
            <w:tblW w:w="13020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110"/>
            <w:gridCol w:w="1515"/>
            <w:gridCol w:w="3255"/>
            <w:gridCol w:w="2715"/>
            <w:gridCol w:w="4425"/>
            <w:tblGridChange w:id="0">
              <w:tblGrid>
                <w:gridCol w:w="1110"/>
                <w:gridCol w:w="1515"/>
                <w:gridCol w:w="3255"/>
                <w:gridCol w:w="2715"/>
                <w:gridCol w:w="4425"/>
              </w:tblGrid>
            </w:tblGridChange>
          </w:tblGrid>
          <w:tr>
            <w:trPr>
              <w:cantSplit w:val="0"/>
              <w:trHeight w:val="394.99999999992724" w:hRule="atLeast"/>
              <w:tblHeader w:val="1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38761d" w:space="0" w:sz="8" w:val="single"/>
                  <w:left w:color="ffffff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Adjudicador</w:t>
                </w:r>
              </w:p>
            </w:tc>
            <w:tc>
              <w:tcPr>
                <w:vMerge w:val="restart"/>
                <w:tcBorders>
                  <w:top w:color="38761d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Adjudicatario</w:t>
                </w:r>
              </w:p>
            </w:tc>
          </w:tr>
          <w:tr>
            <w:trPr>
              <w:cantSplit w:val="0"/>
              <w:trHeight w:val="342.96874999992724" w:hRule="atLeast"/>
              <w:tblHeader w:val="1"/>
            </w:trPr>
            <w:tc>
              <w:tcPr>
                <w:tcBorders>
                  <w:top w:color="ffffff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Nivel</w:t>
                </w:r>
              </w:p>
            </w:tc>
            <w:tc>
              <w:tcPr>
                <w:tcBorders>
                  <w:top w:color="ffffff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Descriptivo</w:t>
                </w:r>
              </w:p>
            </w:tc>
            <w:tc>
              <w:tcPr>
                <w:tcBorders>
                  <w:top w:color="38761d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SSL</w:t>
                </w:r>
              </w:p>
            </w:tc>
            <w:tc>
              <w:tcPr>
                <w:tcBorders>
                  <w:top w:color="38761d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1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  <w:rtl w:val="0"/>
                  </w:rPr>
                  <w:t xml:space="preserve">Operaciones</w:t>
                </w:r>
              </w:p>
            </w:tc>
            <w:tc>
              <w:tcPr>
                <w:vMerge w:val="continue"/>
                <w:tcBorders>
                  <w:top w:color="38761d" w:space="0" w:sz="8" w:val="single"/>
                  <w:left w:color="38761d" w:space="0" w:sz="8" w:val="single"/>
                  <w:bottom w:color="38761d" w:space="0" w:sz="8" w:val="single"/>
                  <w:right w:color="38761d" w:space="0" w:sz="8" w:val="single"/>
                </w:tcBorders>
                <w:shd w:fill="38761d" w:val="clear"/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center"/>
              </w:tcPr>
              <w:p w:rsidR="00000000" w:rsidDel="00000000" w:rsidP="00000000" w:rsidRDefault="00000000" w:rsidRPr="00000000" w14:paraId="0000011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vMerge w:val="restart"/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3">
                <w:pPr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  <w:rtl w:val="0"/>
                  </w:rPr>
                  <w:t xml:space="preserve">Contrato</w:t>
                </w:r>
              </w:p>
            </w:tc>
            <w:tc>
              <w:tcPr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4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Denominación</w:t>
                </w:r>
              </w:p>
            </w:tc>
            <w:tc>
              <w:tcPr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Dirección SSL Área</w:t>
                </w:r>
              </w:p>
            </w:tc>
            <w:tc>
              <w:tcPr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Responsable de contrato</w:t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vMerge w:val="continue"/>
                <w:tcBorders>
                  <w:top w:color="38761d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Funciones posición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Supervisión de la correcta ejecución del contrato.</w:t>
                </w:r>
              </w:p>
              <w:p w:rsidR="00000000" w:rsidDel="00000000" w:rsidP="00000000" w:rsidRDefault="00000000" w:rsidRPr="00000000" w14:paraId="0000011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Propuesta de sanciones al adjudicatario por incumplimientos de los pliegos.</w:t>
                </w:r>
              </w:p>
              <w:p w:rsidR="00000000" w:rsidDel="00000000" w:rsidP="00000000" w:rsidRDefault="00000000" w:rsidRPr="00000000" w14:paraId="0000011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Coordinación de servicios.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E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Responsable máximo del contrato y se encargará de la gestión de los Jefes de equipo. Actuará como responsable por todos los temas relativos al contrato. Será único para el contrato  y será la dirección SSL Área.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vMerge w:val="restart"/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1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  <w:rtl w:val="0"/>
                  </w:rPr>
                  <w:t xml:space="preserve">Lote/DT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0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Denominación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Coordinación SSL DT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Dirección operaciones DT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Jefatura de equipo</w:t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vMerge w:val="continue"/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5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Funciones posición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el informe mensual de obras abiertas</w:t>
                </w:r>
              </w:p>
              <w:p w:rsidR="00000000" w:rsidDel="00000000" w:rsidP="00000000" w:rsidRDefault="00000000" w:rsidRPr="00000000" w14:paraId="0000012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Validación de cambios de personal técnico.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el informe mensual de obras abiertas</w:t>
                </w:r>
              </w:p>
            </w:tc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9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Responsable de dirigir y organizar la realización de los servicios, asignando en cada momento los medios materiales y humanos que sean necesarios para lograr los rendimientos que se exigen en el presente pliego</w:t>
                </w:r>
              </w:p>
              <w:p w:rsidR="00000000" w:rsidDel="00000000" w:rsidP="00000000" w:rsidRDefault="00000000" w:rsidRPr="00000000" w14:paraId="0000012A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Interlocutor con la coordinación SSL DT</w:t>
                </w:r>
              </w:p>
              <w:p w:rsidR="00000000" w:rsidDel="00000000" w:rsidP="00000000" w:rsidRDefault="00000000" w:rsidRPr="00000000" w14:paraId="0000012B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Resolución de incidencias en el lote/DT.</w:t>
                </w:r>
              </w:p>
              <w:p w:rsidR="00000000" w:rsidDel="00000000" w:rsidP="00000000" w:rsidRDefault="00000000" w:rsidRPr="00000000" w14:paraId="0000012C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Asesoramiento a lote/DT.</w:t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vMerge w:val="restart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D">
                <w:pPr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4"/>
                    <w:szCs w:val="24"/>
                    <w:rtl w:val="0"/>
                  </w:rPr>
                  <w:t xml:space="preserve">Obra/ Proyecto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E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Denominación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2F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Personal Técnico SSL (Prevencionista)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0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Dirección operaciones (conservación, redes, …)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1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Personal Técnico</w:t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3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Funciones posición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4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las visitas documentadas</w:t>
                </w:r>
              </w:p>
              <w:p w:rsidR="00000000" w:rsidDel="00000000" w:rsidP="00000000" w:rsidRDefault="00000000" w:rsidRPr="00000000" w14:paraId="00000135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información acerca de los eventos producidos en obra así como de sus investigaciones.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6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las visitas documentadas</w:t>
                </w:r>
              </w:p>
              <w:p w:rsidR="00000000" w:rsidDel="00000000" w:rsidP="00000000" w:rsidRDefault="00000000" w:rsidRPr="00000000" w14:paraId="00000137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propuestas de penalizaciones por incumplimiento de contratistas o subcontratistas</w:t>
                </w:r>
              </w:p>
              <w:p w:rsidR="00000000" w:rsidDel="00000000" w:rsidP="00000000" w:rsidRDefault="00000000" w:rsidRPr="00000000" w14:paraId="0000013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información acerca de los eventos producidos en obra así como de sus investigaciones.</w:t>
                </w:r>
              </w:p>
              <w:p w:rsidR="00000000" w:rsidDel="00000000" w:rsidP="00000000" w:rsidRDefault="00000000" w:rsidRPr="00000000" w14:paraId="00000139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A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Redactar informe de visitas</w:t>
                </w:r>
              </w:p>
              <w:p w:rsidR="00000000" w:rsidDel="00000000" w:rsidP="00000000" w:rsidRDefault="00000000" w:rsidRPr="00000000" w14:paraId="0000013B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Redactar informe mensual de obras abiertas</w:t>
                </w:r>
              </w:p>
              <w:p w:rsidR="00000000" w:rsidDel="00000000" w:rsidP="00000000" w:rsidRDefault="00000000" w:rsidRPr="00000000" w14:paraId="0000013C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Proponer penalizaciones por incumplimientos</w:t>
                </w:r>
              </w:p>
              <w:p w:rsidR="00000000" w:rsidDel="00000000" w:rsidP="00000000" w:rsidRDefault="00000000" w:rsidRPr="00000000" w14:paraId="0000013D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Investigación de incidentes</w:t>
                </w:r>
              </w:p>
              <w:p w:rsidR="00000000" w:rsidDel="00000000" w:rsidP="00000000" w:rsidRDefault="00000000" w:rsidRPr="00000000" w14:paraId="0000013E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Realizar las funciones de coordinador de seguridad y salud y asistencia técnica reflejadas en este pliego</w:t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3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0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Denominación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1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2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Responsable/Jefatura obra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3">
                <w:pPr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rtl w:val="0"/>
                  </w:rPr>
                  <w:t xml:space="preserve">Personal administrativo</w:t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bCs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5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Funciones posición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6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7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las visitas documentadas</w:t>
                </w:r>
              </w:p>
              <w:p w:rsidR="00000000" w:rsidDel="00000000" w:rsidP="00000000" w:rsidRDefault="00000000" w:rsidRPr="00000000" w14:paraId="0000014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propuestas de penalizaciones por incumplimiento de contratistas o subcontratistas</w:t>
                </w:r>
              </w:p>
              <w:p w:rsidR="00000000" w:rsidDel="00000000" w:rsidP="00000000" w:rsidRDefault="00000000" w:rsidRPr="00000000" w14:paraId="00000149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Recibir información acerca de los eventos producidos en obra así como de sus investigaciones.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4A">
                <w:pPr>
                  <w:spacing w:line="276" w:lineRule="auto"/>
                  <w:ind w:left="0" w:firstLine="0"/>
                  <w:jc w:val="both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Realización de las tareas administrativas o de control documental</w:t>
                </w:r>
              </w:p>
            </w:tc>
          </w:tr>
        </w:tbl>
      </w:sdtContent>
    </w:sdt>
    <w:p w:rsidR="00000000" w:rsidDel="00000000" w:rsidP="00000000" w:rsidRDefault="00000000" w:rsidRPr="00000000" w14:paraId="0000014B">
      <w:pPr>
        <w:spacing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6qpptaaz9vdp" w:id="4"/>
      <w:bookmarkEnd w:id="4"/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type w:val="nextPage"/>
      <w:pgSz w:h="11907" w:w="16839" w:orient="landscape"/>
      <w:pgMar w:bottom="1417.3228346456694" w:top="1417.3228346456694" w:left="1700.7874015748032" w:right="1700.7874015748032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1">
    <w:pPr>
      <w:tabs>
        <w:tab w:val="center" w:leader="none" w:pos="4252"/>
        <w:tab w:val="right" w:leader="none" w:pos="8504"/>
      </w:tabs>
      <w:jc w:val="right"/>
      <w:rPr>
        <w:rFonts w:ascii="Book Antiqua" w:cs="Book Antiqua" w:eastAsia="Book Antiqua" w:hAnsi="Book Antiqua"/>
        <w:sz w:val="16"/>
        <w:szCs w:val="16"/>
      </w:rPr>
    </w:pPr>
    <w:r w:rsidDel="00000000" w:rsidR="00000000" w:rsidRPr="00000000">
      <w:rPr>
        <w:rFonts w:ascii="Book Antiqua" w:cs="Book Antiqua" w:eastAsia="Book Antiqua" w:hAnsi="Book Antiqua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4086225</wp:posOffset>
          </wp:positionH>
          <wp:positionV relativeFrom="paragraph">
            <wp:posOffset>-104773</wp:posOffset>
          </wp:positionV>
          <wp:extent cx="1173480" cy="352926"/>
          <wp:effectExtent b="0" l="0" r="0" t="0"/>
          <wp:wrapNone/>
          <wp:docPr id="2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3480" cy="35292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4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7721600</wp:posOffset>
          </wp:positionH>
          <wp:positionV relativeFrom="paragraph">
            <wp:posOffset>-234948</wp:posOffset>
          </wp:positionV>
          <wp:extent cx="1173480" cy="352926"/>
          <wp:effectExtent b="0" l="0" r="0" t="0"/>
          <wp:wrapNone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3480" cy="35292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68" w:hanging="360"/>
      </w:pPr>
      <w:rPr>
        <w:strike w:val="0"/>
        <w:color w:val="000000"/>
        <w:sz w:val="20"/>
        <w:szCs w:val="20"/>
        <w:vertAlign w:val="baseline"/>
      </w:rPr>
    </w:lvl>
    <w:lvl w:ilvl="1">
      <w:start w:val="1"/>
      <w:numFmt w:val="decimal"/>
      <w:lvlText w:val="%1.%2."/>
      <w:lvlJc w:val="left"/>
      <w:pPr>
        <w:ind w:left="1500" w:hanging="432"/>
      </w:pPr>
      <w:rPr/>
    </w:lvl>
    <w:lvl w:ilvl="2">
      <w:start w:val="1"/>
      <w:numFmt w:val="decimal"/>
      <w:lvlText w:val="%1.%2.%3."/>
      <w:lvlJc w:val="left"/>
      <w:pPr>
        <w:ind w:left="1932" w:hanging="504.00000000000045"/>
      </w:pPr>
      <w:rPr/>
    </w:lvl>
    <w:lvl w:ilvl="3">
      <w:start w:val="1"/>
      <w:numFmt w:val="decimal"/>
      <w:lvlText w:val="%1.%2.%3.%4."/>
      <w:lvlJc w:val="left"/>
      <w:pPr>
        <w:ind w:left="2436" w:hanging="648"/>
      </w:pPr>
      <w:rPr/>
    </w:lvl>
    <w:lvl w:ilvl="4">
      <w:start w:val="1"/>
      <w:numFmt w:val="decimal"/>
      <w:lvlText w:val="%1.%2.%3.%4.%5."/>
      <w:lvlJc w:val="left"/>
      <w:pPr>
        <w:ind w:left="2940" w:hanging="792"/>
      </w:pPr>
      <w:rPr/>
    </w:lvl>
    <w:lvl w:ilvl="5">
      <w:start w:val="1"/>
      <w:numFmt w:val="decimal"/>
      <w:lvlText w:val="%1.%2.%3.%4.%5.%6."/>
      <w:lvlJc w:val="left"/>
      <w:pPr>
        <w:ind w:left="3444" w:hanging="936"/>
      </w:pPr>
      <w:rPr/>
    </w:lvl>
    <w:lvl w:ilvl="6">
      <w:start w:val="1"/>
      <w:numFmt w:val="decimal"/>
      <w:lvlText w:val="%1.%2.%3.%4.%5.%6.%7."/>
      <w:lvlJc w:val="left"/>
      <w:pPr>
        <w:ind w:left="3948" w:hanging="1080"/>
      </w:pPr>
      <w:rPr/>
    </w:lvl>
    <w:lvl w:ilvl="7">
      <w:start w:val="1"/>
      <w:numFmt w:val="decimal"/>
      <w:lvlText w:val="%1.%2.%3.%4.%5.%6.%7.%8."/>
      <w:lvlJc w:val="left"/>
      <w:pPr>
        <w:ind w:left="4452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5028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Rule="auto"/>
      <w:ind w:left="360" w:hanging="420"/>
    </w:pPr>
    <w:rPr>
      <w:rFonts w:ascii="Arial" w:cs="Arial" w:eastAsia="Arial" w:hAnsi="Arial"/>
      <w:b w:val="1"/>
      <w:bCs w:val="1"/>
      <w:smallCaps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260" w:before="260" w:line="415" w:lineRule="auto"/>
      <w:ind w:left="840" w:hanging="420"/>
      <w:jc w:val="both"/>
    </w:pPr>
    <w:rPr>
      <w:rFonts w:ascii="Arial Narrow" w:cs="Arial Narrow" w:eastAsia="Arial Narrow" w:hAnsi="Arial Narrow"/>
      <w:b w:val="1"/>
      <w:bCs w:val="1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60" w:before="40" w:line="415" w:lineRule="auto"/>
      <w:ind w:left="0" w:firstLine="420"/>
      <w:jc w:val="both"/>
    </w:pPr>
    <w:rPr>
      <w:rFonts w:ascii="Arial Narrow" w:cs="Arial Narrow" w:eastAsia="Arial Narrow" w:hAnsi="Arial Narrow"/>
      <w:b w:val="1"/>
      <w:bCs w:val="1"/>
      <w:i w:val="1"/>
      <w:iCs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1680" w:hanging="420"/>
    </w:pPr>
    <w:rPr>
      <w:rFonts w:ascii="Arial Narrow" w:cs="Arial Narrow" w:eastAsia="Arial Narrow" w:hAnsi="Arial Narrow"/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0D08B6"/>
    <w:pPr>
      <w:keepNext w:val="1"/>
      <w:keepLines w:val="1"/>
      <w:spacing w:before="40"/>
      <w:outlineLvl w:val="6"/>
    </w:pPr>
    <w:rPr>
      <w:rFonts w:asciiTheme="majorHAnsi" w:cstheme="majorBidi" w:eastAsiaTheme="majorEastAsia" w:hAnsiTheme="majorHAnsi"/>
      <w:i w:val="1"/>
      <w:iCs w:val="1"/>
      <w:color w:val="243f60" w:themeColor="accent1" w:themeShade="00007F"/>
      <w:szCs w:val="18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0D08B6"/>
    <w:pPr>
      <w:keepNext w:val="1"/>
      <w:keepLines w:val="1"/>
      <w:spacing w:before="40"/>
      <w:outlineLvl w:val="7"/>
    </w:pPr>
    <w:rPr>
      <w:rFonts w:asciiTheme="majorHAnsi" w:cstheme="majorBidi" w:eastAsiaTheme="majorEastAsia" w:hAnsiTheme="majorHAnsi"/>
      <w:color w:val="272727" w:themeColor="text1" w:themeTint="0000D8"/>
      <w:sz w:val="21"/>
      <w:szCs w:val="19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0D08B6"/>
    <w:pPr>
      <w:keepNext w:val="1"/>
      <w:keepLines w:val="1"/>
      <w:spacing w:before="40"/>
      <w:outlineLvl w:val="8"/>
    </w:pPr>
    <w:rPr>
      <w:rFonts w:asciiTheme="majorHAnsi" w:cstheme="majorBidi" w:eastAsiaTheme="majorEastAsia" w:hAnsiTheme="majorHAnsi"/>
      <w:i w:val="1"/>
      <w:iCs w:val="1"/>
      <w:color w:val="272727" w:themeColor="text1" w:themeTint="0000D8"/>
      <w:sz w:val="21"/>
      <w:szCs w:val="19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aliases w:val="H1 Car"/>
    <w:basedOn w:val="Fuentedeprrafopredeter"/>
    <w:link w:val="Ttulo1"/>
    <w:rsid w:val="001C1D2A"/>
    <w:rPr>
      <w:rFonts w:ascii="Arial Negrita" w:cs="Times New Roman" w:eastAsia="Times New Roman" w:hAnsi="Arial Negrita"/>
      <w:b w:val="1"/>
      <w:caps w:val="1"/>
      <w:kern w:val="28"/>
      <w:szCs w:val="20"/>
      <w:lang w:eastAsia="es-ES" w:val="ca-ES"/>
    </w:rPr>
  </w:style>
  <w:style w:type="character" w:styleId="Ttulo2Car" w:customStyle="1">
    <w:name w:val="Título 2 Car"/>
    <w:basedOn w:val="Fuentedeprrafopredeter"/>
    <w:link w:val="Ttulo2"/>
    <w:uiPriority w:val="9"/>
    <w:rsid w:val="001B1EDA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3"/>
      <w:lang w:bidi="ks-Deva" w:eastAsia="es-ES"/>
    </w:rPr>
  </w:style>
  <w:style w:type="paragraph" w:styleId="Encabezado">
    <w:name w:val="header"/>
    <w:basedOn w:val="Normal"/>
    <w:link w:val="EncabezadoCar"/>
    <w:uiPriority w:val="99"/>
    <w:unhideWhenUsed w:val="1"/>
    <w:rsid w:val="00113152"/>
    <w:pPr>
      <w:tabs>
        <w:tab w:val="center" w:pos="4252"/>
        <w:tab w:val="right" w:pos="8504"/>
      </w:tabs>
    </w:pPr>
    <w:rPr>
      <w:szCs w:val="18"/>
    </w:rPr>
  </w:style>
  <w:style w:type="character" w:styleId="EncabezadoCar" w:customStyle="1">
    <w:name w:val="Encabezado Car"/>
    <w:basedOn w:val="Fuentedeprrafopredeter"/>
    <w:link w:val="Encabezado"/>
    <w:uiPriority w:val="99"/>
    <w:rsid w:val="00113152"/>
    <w:rPr>
      <w:rFonts w:ascii="Arial" w:cs="Arial" w:eastAsia="Times New Roman" w:hAnsi="Arial"/>
      <w:sz w:val="20"/>
      <w:szCs w:val="18"/>
      <w:lang w:bidi="ks-Deva"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113152"/>
    <w:pPr>
      <w:tabs>
        <w:tab w:val="center" w:pos="4252"/>
        <w:tab w:val="right" w:pos="8504"/>
      </w:tabs>
    </w:pPr>
    <w:rPr>
      <w:szCs w:val="18"/>
    </w:rPr>
  </w:style>
  <w:style w:type="character" w:styleId="PiedepginaCar" w:customStyle="1">
    <w:name w:val="Pie de página Car"/>
    <w:basedOn w:val="Fuentedeprrafopredeter"/>
    <w:link w:val="Piedepgina"/>
    <w:uiPriority w:val="99"/>
    <w:rsid w:val="00113152"/>
    <w:rPr>
      <w:rFonts w:ascii="Arial" w:cs="Arial" w:eastAsia="Times New Roman" w:hAnsi="Arial"/>
      <w:sz w:val="20"/>
      <w:szCs w:val="18"/>
      <w:lang w:bidi="ks-Deva"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603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460365"/>
    <w:rPr>
      <w:szCs w:val="18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460365"/>
    <w:rPr>
      <w:rFonts w:ascii="Arial" w:cs="Arial" w:eastAsia="Times New Roman" w:hAnsi="Arial"/>
      <w:sz w:val="20"/>
      <w:szCs w:val="18"/>
      <w:lang w:bidi="ks-Deva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6036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60365"/>
    <w:rPr>
      <w:rFonts w:ascii="Arial" w:cs="Arial" w:eastAsia="Times New Roman" w:hAnsi="Arial"/>
      <w:b w:val="1"/>
      <w:bCs w:val="1"/>
      <w:sz w:val="20"/>
      <w:szCs w:val="18"/>
      <w:lang w:bidi="ks-Deva"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60365"/>
    <w:rPr>
      <w:rFonts w:ascii="Tahoma" w:cs="Tahoma" w:hAnsi="Tahoma"/>
      <w:sz w:val="16"/>
      <w:szCs w:val="14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60365"/>
    <w:rPr>
      <w:rFonts w:ascii="Tahoma" w:cs="Tahoma" w:eastAsia="Times New Roman" w:hAnsi="Tahoma"/>
      <w:sz w:val="16"/>
      <w:szCs w:val="14"/>
      <w:lang w:bidi="ks-Deva" w:eastAsia="es-ES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6E5B77"/>
    <w:rPr>
      <w:szCs w:val="18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6E5B77"/>
    <w:rPr>
      <w:rFonts w:ascii="Arial" w:cs="Arial" w:eastAsia="Times New Roman" w:hAnsi="Arial"/>
      <w:sz w:val="20"/>
      <w:szCs w:val="18"/>
      <w:lang w:bidi="ks-Deva" w:eastAsia="es-E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6E5B77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 w:val="1"/>
    <w:rsid w:val="00DF7DE8"/>
    <w:pPr>
      <w:ind w:left="720"/>
      <w:contextualSpacing w:val="1"/>
    </w:pPr>
    <w:rPr>
      <w:szCs w:val="18"/>
    </w:rPr>
  </w:style>
  <w:style w:type="character" w:styleId="PrrafodelistaCar" w:customStyle="1">
    <w:name w:val="Párrafo de lista Car"/>
    <w:link w:val="Prrafodelista"/>
    <w:uiPriority w:val="34"/>
    <w:locked w:val="1"/>
    <w:rsid w:val="001C1D2A"/>
    <w:rPr>
      <w:rFonts w:ascii="Arial" w:cs="Arial" w:eastAsia="Times New Roman" w:hAnsi="Arial"/>
      <w:sz w:val="20"/>
      <w:szCs w:val="18"/>
      <w:lang w:bidi="ks-Deva" w:eastAsia="es-ES"/>
    </w:rPr>
  </w:style>
  <w:style w:type="paragraph" w:styleId="Textoindependiente3">
    <w:name w:val="Body Text 3"/>
    <w:basedOn w:val="Normal"/>
    <w:link w:val="Textoindependiente3Car1"/>
    <w:semiHidden w:val="1"/>
    <w:rsid w:val="001A760D"/>
    <w:pPr>
      <w:widowControl w:val="1"/>
      <w:autoSpaceDE w:val="1"/>
      <w:autoSpaceDN w:val="1"/>
      <w:adjustRightInd w:val="1"/>
      <w:jc w:val="both"/>
    </w:pPr>
    <w:rPr>
      <w:rFonts w:ascii="Arial Narrow" w:cs="Arial Narrow" w:hAnsi="Arial Narrow"/>
      <w:lang w:bidi="ar-SA" w:val="es-ES_tradnl"/>
    </w:rPr>
  </w:style>
  <w:style w:type="character" w:styleId="Textoindependiente3Car1" w:customStyle="1">
    <w:name w:val="Texto independiente 3 Car1"/>
    <w:link w:val="Textoindependiente3"/>
    <w:semiHidden w:val="1"/>
    <w:locked w:val="1"/>
    <w:rsid w:val="001A760D"/>
    <w:rPr>
      <w:rFonts w:ascii="Arial Narrow" w:cs="Arial Narrow" w:eastAsia="Times New Roman" w:hAnsi="Arial Narrow"/>
      <w:sz w:val="20"/>
      <w:szCs w:val="20"/>
      <w:lang w:eastAsia="es-ES" w:val="es-ES_tradnl"/>
    </w:rPr>
  </w:style>
  <w:style w:type="character" w:styleId="Textoindependiente3Car" w:customStyle="1">
    <w:name w:val="Texto independiente 3 Car"/>
    <w:basedOn w:val="Fuentedeprrafopredeter"/>
    <w:uiPriority w:val="99"/>
    <w:semiHidden w:val="1"/>
    <w:rsid w:val="001A760D"/>
    <w:rPr>
      <w:rFonts w:ascii="Arial" w:cs="Arial" w:eastAsia="Times New Roman" w:hAnsi="Arial"/>
      <w:sz w:val="16"/>
      <w:szCs w:val="14"/>
      <w:lang w:bidi="ks-Deva" w:eastAsia="es-ES"/>
    </w:rPr>
  </w:style>
  <w:style w:type="paragraph" w:styleId="Sangradetextonormal">
    <w:name w:val="Body Text Indent"/>
    <w:basedOn w:val="Normal"/>
    <w:link w:val="SangradetextonormalCar"/>
    <w:unhideWhenUsed w:val="1"/>
    <w:rsid w:val="001C1D2A"/>
    <w:pPr>
      <w:spacing w:after="120"/>
      <w:ind w:left="283"/>
    </w:pPr>
    <w:rPr>
      <w:szCs w:val="18"/>
    </w:rPr>
  </w:style>
  <w:style w:type="character" w:styleId="SangradetextonormalCar" w:customStyle="1">
    <w:name w:val="Sangría de texto normal Car"/>
    <w:basedOn w:val="Fuentedeprrafopredeter"/>
    <w:link w:val="Sangradetextonormal"/>
    <w:rsid w:val="001C1D2A"/>
    <w:rPr>
      <w:rFonts w:ascii="Arial" w:cs="Arial" w:eastAsia="Times New Roman" w:hAnsi="Arial"/>
      <w:sz w:val="20"/>
      <w:szCs w:val="18"/>
      <w:lang w:bidi="ks-Deva" w:eastAsia="es-ES"/>
    </w:rPr>
  </w:style>
  <w:style w:type="paragraph" w:styleId="Inicial" w:customStyle="1">
    <w:name w:val="Inicial"/>
    <w:basedOn w:val="Normal"/>
    <w:rsid w:val="001C1D2A"/>
    <w:pPr>
      <w:widowControl w:val="1"/>
      <w:autoSpaceDE w:val="1"/>
      <w:autoSpaceDN w:val="1"/>
      <w:adjustRightInd w:val="1"/>
      <w:spacing w:after="240" w:line="264" w:lineRule="auto"/>
      <w:ind w:left="992"/>
      <w:jc w:val="both"/>
    </w:pPr>
    <w:rPr>
      <w:rFonts w:ascii="Times New Roman" w:cs="Times New Roman" w:eastAsia="Calibri" w:hAnsi="Times New Roman"/>
      <w:sz w:val="24"/>
      <w:szCs w:val="24"/>
      <w:lang w:bidi="ar-SA" w:eastAsia="en-US"/>
    </w:rPr>
  </w:style>
  <w:style w:type="character" w:styleId="Hipervnculo">
    <w:name w:val="Hyperlink"/>
    <w:uiPriority w:val="99"/>
    <w:unhideWhenUsed w:val="1"/>
    <w:rsid w:val="00FF331F"/>
    <w:rPr>
      <w:color w:val="0000ff"/>
      <w:u w:val="single"/>
    </w:rPr>
  </w:style>
  <w:style w:type="paragraph" w:styleId="Revisin">
    <w:name w:val="Revision"/>
    <w:hidden w:val="1"/>
    <w:uiPriority w:val="99"/>
    <w:semiHidden w:val="1"/>
    <w:rsid w:val="003B0786"/>
    <w:pPr>
      <w:spacing w:after="0" w:line="240" w:lineRule="auto"/>
    </w:pPr>
    <w:rPr>
      <w:rFonts w:ascii="Arial" w:cs="Arial" w:eastAsia="Times New Roman" w:hAnsi="Arial"/>
      <w:sz w:val="20"/>
      <w:szCs w:val="18"/>
      <w:lang w:bidi="ks-Deva" w:eastAsia="es-ES"/>
    </w:rPr>
  </w:style>
  <w:style w:type="character" w:styleId="Textodelmarcadordeposicin">
    <w:name w:val="Placeholder Text"/>
    <w:basedOn w:val="Fuentedeprrafopredeter"/>
    <w:uiPriority w:val="99"/>
    <w:semiHidden w:val="1"/>
    <w:rsid w:val="007366AF"/>
    <w:rPr>
      <w:color w:val="808080"/>
    </w:rPr>
  </w:style>
  <w:style w:type="character" w:styleId="SubttuloCar" w:customStyle="1">
    <w:name w:val="Subtítulo Car"/>
    <w:basedOn w:val="Fuentedeprrafopredeter"/>
    <w:link w:val="Subttulo"/>
    <w:uiPriority w:val="11"/>
    <w:rsid w:val="004020BF"/>
    <w:rPr>
      <w:rFonts w:ascii="Arial" w:cs="Arial" w:hAnsi="Arial" w:eastAsiaTheme="majorEastAsia"/>
      <w:b w:val="1"/>
      <w:i w:val="1"/>
      <w:iCs w:val="1"/>
      <w:color w:val="000000" w:themeColor="text1"/>
      <w:spacing w:val="15"/>
      <w:sz w:val="28"/>
      <w:szCs w:val="24"/>
      <w:lang w:eastAsia="es-ES" w:val="es-ES_tradnl"/>
    </w:rPr>
  </w:style>
  <w:style w:type="paragraph" w:styleId="Textoindependiente">
    <w:name w:val="Body Text"/>
    <w:basedOn w:val="Normal"/>
    <w:link w:val="TextoindependienteCar"/>
    <w:uiPriority w:val="1"/>
    <w:unhideWhenUsed w:val="1"/>
    <w:qFormat w:val="1"/>
    <w:rsid w:val="001B1EDA"/>
    <w:pPr>
      <w:spacing w:after="120"/>
    </w:pPr>
    <w:rPr>
      <w:szCs w:val="18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1B1EDA"/>
    <w:rPr>
      <w:rFonts w:ascii="Arial" w:cs="Arial" w:eastAsia="Times New Roman" w:hAnsi="Arial"/>
      <w:sz w:val="20"/>
      <w:szCs w:val="18"/>
      <w:lang w:bidi="ks-Deva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 w:val="1"/>
    <w:unhideWhenUsed w:val="1"/>
    <w:rsid w:val="001B1EDA"/>
    <w:pPr>
      <w:spacing w:after="0"/>
      <w:ind w:firstLine="360"/>
    </w:pPr>
  </w:style>
  <w:style w:type="character" w:styleId="TextoindependienteprimerasangraCar" w:customStyle="1">
    <w:name w:val="Texto independiente primera sangría Car"/>
    <w:basedOn w:val="TextoindependienteCar"/>
    <w:link w:val="Textoindependienteprimerasangra"/>
    <w:uiPriority w:val="99"/>
    <w:semiHidden w:val="1"/>
    <w:rsid w:val="001B1EDA"/>
    <w:rPr>
      <w:rFonts w:ascii="Arial" w:cs="Arial" w:eastAsia="Times New Roman" w:hAnsi="Arial"/>
      <w:sz w:val="20"/>
      <w:szCs w:val="18"/>
      <w:lang w:bidi="ks-Deva" w:eastAsia="es-ES"/>
    </w:rPr>
  </w:style>
  <w:style w:type="table" w:styleId="Tablaconcuadrcula">
    <w:name w:val="Table Grid"/>
    <w:basedOn w:val="Tablanormal"/>
    <w:uiPriority w:val="59"/>
    <w:rsid w:val="00404713"/>
    <w:pPr>
      <w:spacing w:after="0" w:line="240" w:lineRule="auto"/>
    </w:pPr>
    <w:rPr>
      <w:kern w:val="2"/>
      <w:sz w:val="21"/>
      <w:lang w:eastAsia="zh-CN" w:val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independiente2">
    <w:name w:val="Body Text 2"/>
    <w:basedOn w:val="Normal"/>
    <w:link w:val="Textoindependiente2Car"/>
    <w:uiPriority w:val="99"/>
    <w:semiHidden w:val="1"/>
    <w:unhideWhenUsed w:val="1"/>
    <w:rsid w:val="001A2E6C"/>
    <w:pPr>
      <w:spacing w:after="120" w:line="480" w:lineRule="auto"/>
    </w:pPr>
    <w:rPr>
      <w:szCs w:val="18"/>
    </w:rPr>
  </w:style>
  <w:style w:type="character" w:styleId="Textoindependiente2Car" w:customStyle="1">
    <w:name w:val="Texto independiente 2 Car"/>
    <w:basedOn w:val="Fuentedeprrafopredeter"/>
    <w:link w:val="Textoindependiente2"/>
    <w:rsid w:val="001A2E6C"/>
    <w:rPr>
      <w:rFonts w:ascii="Arial" w:cs="Arial" w:eastAsia="Times New Roman" w:hAnsi="Arial"/>
      <w:sz w:val="20"/>
      <w:szCs w:val="18"/>
      <w:lang w:bidi="ks-Deva" w:eastAsia="es-ES"/>
    </w:rPr>
  </w:style>
  <w:style w:type="character" w:styleId="Ttulo3Car" w:customStyle="1">
    <w:name w:val="Título 3 Car"/>
    <w:basedOn w:val="Fuentedeprrafopredeter"/>
    <w:link w:val="Ttulo3"/>
    <w:uiPriority w:val="9"/>
    <w:rsid w:val="00135361"/>
    <w:rPr>
      <w:rFonts w:ascii="Arial Narrow" w:hAnsi="Arial Narrow"/>
      <w:b w:val="1"/>
      <w:color w:val="000000" w:themeColor="text1"/>
      <w:kern w:val="2"/>
      <w:sz w:val="24"/>
      <w:szCs w:val="32"/>
      <w:lang w:eastAsia="zh-CN" w:val="en-US"/>
    </w:rPr>
  </w:style>
  <w:style w:type="paragraph" w:styleId="TDC2">
    <w:name w:val="toc 2"/>
    <w:basedOn w:val="Normal"/>
    <w:next w:val="Normal"/>
    <w:autoRedefine w:val="1"/>
    <w:uiPriority w:val="39"/>
    <w:unhideWhenUsed w:val="1"/>
    <w:qFormat w:val="1"/>
    <w:rsid w:val="001A2E6C"/>
    <w:pPr>
      <w:tabs>
        <w:tab w:val="left" w:pos="840"/>
        <w:tab w:val="right" w:leader="dot" w:pos="9060"/>
      </w:tabs>
      <w:autoSpaceDE w:val="1"/>
      <w:autoSpaceDN w:val="1"/>
      <w:adjustRightInd w:val="1"/>
      <w:ind w:left="420" w:leftChars="200"/>
    </w:pPr>
    <w:rPr>
      <w:rFonts w:asciiTheme="minorHAnsi" w:cstheme="minorBidi" w:eastAsiaTheme="minorEastAsia" w:hAnsiTheme="minorHAnsi"/>
      <w:kern w:val="2"/>
      <w:sz w:val="21"/>
      <w:szCs w:val="22"/>
      <w:lang w:bidi="ar-SA" w:eastAsia="zh-CN" w:val="en-US"/>
    </w:rPr>
  </w:style>
  <w:style w:type="paragraph" w:styleId="TDC3">
    <w:name w:val="toc 3"/>
    <w:basedOn w:val="Normal"/>
    <w:next w:val="Normal"/>
    <w:autoRedefine w:val="1"/>
    <w:uiPriority w:val="39"/>
    <w:unhideWhenUsed w:val="1"/>
    <w:qFormat w:val="1"/>
    <w:rsid w:val="001A2E6C"/>
    <w:pPr>
      <w:autoSpaceDE w:val="1"/>
      <w:autoSpaceDN w:val="1"/>
      <w:adjustRightInd w:val="1"/>
      <w:ind w:left="840" w:leftChars="400"/>
      <w:jc w:val="both"/>
    </w:pPr>
    <w:rPr>
      <w:rFonts w:asciiTheme="minorHAnsi" w:cstheme="minorBidi" w:eastAsiaTheme="minorEastAsia" w:hAnsiTheme="minorHAnsi"/>
      <w:kern w:val="2"/>
      <w:sz w:val="21"/>
      <w:szCs w:val="22"/>
      <w:lang w:bidi="ar-SA" w:eastAsia="zh-CN" w:val="en-US"/>
    </w:rPr>
  </w:style>
  <w:style w:type="character" w:styleId="TextocomentarioCar1" w:customStyle="1">
    <w:name w:val="Texto comentario Car1"/>
    <w:uiPriority w:val="99"/>
    <w:rsid w:val="00336BD0"/>
    <w:rPr>
      <w:rFonts w:ascii="Arial" w:eastAsia="Times New Roman" w:hAnsi="Arial"/>
      <w:color w:val="00000a"/>
      <w:kern w:val="1"/>
    </w:rPr>
  </w:style>
  <w:style w:type="character" w:styleId="apple-converted-space" w:customStyle="1">
    <w:name w:val="apple-converted-space"/>
    <w:basedOn w:val="Fuentedeprrafopredeter"/>
    <w:rsid w:val="008A6C57"/>
  </w:style>
  <w:style w:type="paragraph" w:styleId="ANEXO" w:customStyle="1">
    <w:name w:val="ANEXO"/>
    <w:basedOn w:val="Subttulo"/>
    <w:link w:val="ANEXOCar"/>
    <w:qFormat w:val="1"/>
    <w:rsid w:val="003F3831"/>
    <w:pPr>
      <w:pageBreakBefore w:val="1"/>
      <w:jc w:val="center"/>
    </w:pPr>
    <w:rPr>
      <w:rFonts w:ascii="Arial Narrow" w:hAnsi="Arial Narrow"/>
      <w:i w:val="0"/>
      <w:u w:val="single"/>
      <w:lang w:val="ca-E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E21EC7"/>
    <w:pPr>
      <w:tabs>
        <w:tab w:val="left" w:pos="420"/>
        <w:tab w:val="right" w:leader="dot" w:pos="13428"/>
      </w:tabs>
      <w:spacing w:after="100"/>
    </w:pPr>
    <w:rPr>
      <w:szCs w:val="18"/>
    </w:rPr>
  </w:style>
  <w:style w:type="character" w:styleId="ANEXOCar" w:customStyle="1">
    <w:name w:val="ANEXO Car"/>
    <w:basedOn w:val="SubttuloCar"/>
    <w:link w:val="ANEXO"/>
    <w:rsid w:val="003F3831"/>
    <w:rPr>
      <w:rFonts w:ascii="Arial Narrow" w:cs="Arial" w:hAnsi="Arial Narrow" w:eastAsiaTheme="majorEastAsia"/>
      <w:b w:val="1"/>
      <w:i w:val="0"/>
      <w:iCs w:val="1"/>
      <w:color w:val="000000" w:themeColor="text1"/>
      <w:spacing w:val="15"/>
      <w:sz w:val="28"/>
      <w:szCs w:val="24"/>
      <w:u w:val="single"/>
      <w:lang w:eastAsia="es-ES" w:val="ca-ES"/>
    </w:rPr>
  </w:style>
  <w:style w:type="paragraph" w:styleId="TtuloTDC">
    <w:name w:val="TOC Heading"/>
    <w:basedOn w:val="Ttulo1"/>
    <w:next w:val="Normal"/>
    <w:uiPriority w:val="39"/>
    <w:unhideWhenUsed w:val="1"/>
    <w:qFormat w:val="1"/>
    <w:rsid w:val="003F3831"/>
    <w:pPr>
      <w:keepLines w:val="1"/>
      <w:spacing w:after="0" w:line="259" w:lineRule="auto"/>
      <w:outlineLvl w:val="9"/>
    </w:pPr>
    <w:rPr>
      <w:rFonts w:asciiTheme="majorHAnsi" w:cstheme="majorBidi" w:eastAsiaTheme="majorEastAsia" w:hAnsiTheme="majorHAnsi"/>
      <w:b w:val="0"/>
      <w:caps w:val="0"/>
      <w:color w:val="365f91" w:themeColor="accent1" w:themeShade="0000BF"/>
      <w:kern w:val="0"/>
      <w:sz w:val="32"/>
      <w:szCs w:val="32"/>
      <w:lang w:bidi="ks-Deva" w:val="es-ES"/>
    </w:rPr>
  </w:style>
  <w:style w:type="character" w:styleId="Ttulo4Car" w:customStyle="1">
    <w:name w:val="Título 4 Car"/>
    <w:basedOn w:val="Fuentedeprrafopredeter"/>
    <w:link w:val="Ttulo4"/>
    <w:uiPriority w:val="9"/>
    <w:rsid w:val="00BD3652"/>
    <w:rPr>
      <w:rFonts w:ascii="Arial Narrow" w:hAnsi="Arial Narrow" w:cstheme="majorBidi" w:eastAsiaTheme="majorEastAsia"/>
      <w:b w:val="1"/>
      <w:i w:val="1"/>
      <w:iCs w:val="1"/>
      <w:kern w:val="2"/>
      <w:sz w:val="24"/>
      <w:szCs w:val="18"/>
      <w:lang w:eastAsia="zh-CN" w:val="en-US"/>
    </w:rPr>
  </w:style>
  <w:style w:type="character" w:styleId="Ttulo5Car" w:customStyle="1">
    <w:name w:val="Título 5 Car"/>
    <w:basedOn w:val="Fuentedeprrafopredeter"/>
    <w:link w:val="Ttulo5"/>
    <w:uiPriority w:val="9"/>
    <w:rsid w:val="007802C2"/>
    <w:rPr>
      <w:rFonts w:ascii="Arial Narrow" w:hAnsi="Arial Narrow" w:cstheme="majorBidi" w:eastAsiaTheme="majorEastAsia"/>
      <w:b w:val="1"/>
      <w:color w:val="000000" w:themeColor="text1"/>
      <w:szCs w:val="18"/>
      <w:lang w:bidi="ks-Deva" w:eastAsia="es-ES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0D08B6"/>
    <w:rPr>
      <w:rFonts w:asciiTheme="majorHAnsi" w:cstheme="majorBidi" w:eastAsiaTheme="majorEastAsia" w:hAnsiTheme="majorHAnsi"/>
      <w:color w:val="243f60" w:themeColor="accent1" w:themeShade="00007F"/>
      <w:sz w:val="20"/>
      <w:szCs w:val="18"/>
      <w:lang w:bidi="ks-Deva" w:eastAsia="es-ES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0D08B6"/>
    <w:rPr>
      <w:rFonts w:asciiTheme="majorHAnsi" w:cstheme="majorBidi" w:eastAsiaTheme="majorEastAsia" w:hAnsiTheme="majorHAnsi"/>
      <w:i w:val="1"/>
      <w:iCs w:val="1"/>
      <w:color w:val="243f60" w:themeColor="accent1" w:themeShade="00007F"/>
      <w:sz w:val="20"/>
      <w:szCs w:val="18"/>
      <w:lang w:bidi="ks-Deva" w:eastAsia="es-ES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0D08B6"/>
    <w:rPr>
      <w:rFonts w:asciiTheme="majorHAnsi" w:cstheme="majorBidi" w:eastAsiaTheme="majorEastAsia" w:hAnsiTheme="majorHAnsi"/>
      <w:color w:val="272727" w:themeColor="text1" w:themeTint="0000D8"/>
      <w:sz w:val="21"/>
      <w:szCs w:val="19"/>
      <w:lang w:bidi="ks-Deva" w:eastAsia="es-ES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0D08B6"/>
    <w:rPr>
      <w:rFonts w:asciiTheme="majorHAnsi" w:cstheme="majorBidi" w:eastAsiaTheme="majorEastAsia" w:hAnsiTheme="majorHAnsi"/>
      <w:i w:val="1"/>
      <w:iCs w:val="1"/>
      <w:color w:val="272727" w:themeColor="text1" w:themeTint="0000D8"/>
      <w:sz w:val="21"/>
      <w:szCs w:val="19"/>
      <w:lang w:bidi="ks-Deva" w:eastAsia="es-ES"/>
    </w:rPr>
  </w:style>
  <w:style w:type="table" w:styleId="Tablanormal1">
    <w:name w:val="Plain Table 1"/>
    <w:basedOn w:val="Tablanormal"/>
    <w:uiPriority w:val="41"/>
    <w:rsid w:val="00EA7982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character" w:styleId="Textoennegrita">
    <w:name w:val="Strong"/>
    <w:basedOn w:val="Fuentedeprrafopredeter"/>
    <w:uiPriority w:val="22"/>
    <w:qFormat w:val="1"/>
    <w:rsid w:val="005C725D"/>
    <w:rPr>
      <w:b w:val="1"/>
      <w:bCs w:val="1"/>
    </w:rPr>
  </w:style>
  <w:style w:type="paragraph" w:styleId="Normallista" w:customStyle="1">
    <w:name w:val="Normal lista"/>
    <w:basedOn w:val="Normal"/>
    <w:uiPriority w:val="99"/>
    <w:rsid w:val="006C034F"/>
    <w:pPr>
      <w:numPr>
        <w:numId w:val="24"/>
      </w:numPr>
      <w:autoSpaceDE w:val="1"/>
      <w:autoSpaceDN w:val="1"/>
      <w:adjustRightInd w:val="1"/>
      <w:spacing w:after="40" w:before="40" w:line="288" w:lineRule="auto"/>
      <w:jc w:val="both"/>
    </w:pPr>
    <w:rPr>
      <w:rFonts w:ascii="Book Antiqua" w:cs="Times New Roman" w:hAnsi="Book Antiqua"/>
      <w:spacing w:val="2"/>
      <w:sz w:val="22"/>
      <w:lang w:bidi="ar-SA" w:val="es-ES_tradnl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pPr>
      <w:spacing w:after="0" w:line="240" w:lineRule="auto"/>
    </w:pPr>
    <w:rPr>
      <w:sz w:val="21"/>
      <w:szCs w:val="2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bCs w:val="1"/>
      <w:i w:val="1"/>
      <w:iCs w:val="1"/>
      <w:color w:val="000000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pPr>
      <w:spacing w:after="0" w:line="240" w:lineRule="auto"/>
    </w:pPr>
    <w:rPr>
      <w:sz w:val="21"/>
      <w:szCs w:val="2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2.png"/><Relationship Id="rId13" Type="http://schemas.openxmlformats.org/officeDocument/2006/relationships/header" Target="head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DzpXTfCP8TIQoZhwM30vZrFaTQ==">CgMxLjAaHwoBMBIaChgICVIUChJ0YWJsZS41d3o3NTU4Y2l2d3IyDmguNTNhNWw3OHJiYXY2Mg5oLmNscXkxcDFxdmxvMzIOaC4xd28ycmlxMXpxd3cyDmguY2k5OHV3N3dlZDFlMg5oLjZxcHB0YWF6OXZkcDgAciExbTJJVTh3dlFfWlVHd0RQemw1VE1xT3BxZndnTWpmMmU=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2020-11-12T14:11:00Z</dcterms:created>
  <dc:creator>Xavier Ortega Florensa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