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true"/>
        <w:keepLines w:val="false"/>
        <w:widowControl/>
        <w:spacing w:lineRule="auto" w:line="259" w:before="240" w:after="60"/>
        <w:ind w:hanging="0" w:left="0" w:right="0"/>
        <w:jc w:val="center"/>
        <w:rPr>
          <w:rFonts w:ascii="Arial Narrow" w:hAnsi="Arial Narrow" w:eastAsia="Arial Narrow" w:cs="Arial Narrow"/>
          <w:b/>
          <w:i w:val="false"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vertAlign w:val="baseline"/>
        </w:rPr>
      </w:pPr>
      <w:bookmarkStart w:id="0" w:name="_65cv3ga44u7k"/>
      <w:bookmarkEnd w:id="0"/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vertAlign w:val="baseline"/>
        </w:rPr>
        <w:t>ANEXO NÚM. 7: MODELO DE PROPOSICIÓN ECONÓMICA</w:t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smallCaps/>
          <w:sz w:val="22"/>
          <w:szCs w:val="22"/>
          <w:highlight w:val="yellow"/>
          <w:u w:val="single"/>
        </w:rPr>
      </w:pPr>
      <w:r>
        <w:rPr>
          <w:rFonts w:eastAsia="Arial Narrow" w:cs="Arial Narrow" w:ascii="Arial Narrow" w:hAnsi="Arial Narrow"/>
          <w:b/>
          <w:smallCaps/>
          <w:sz w:val="22"/>
          <w:szCs w:val="22"/>
          <w:highlight w:val="yellow"/>
          <w:u w:val="single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D./Dª. [●], mayor de edad, con domicilio a estos efectos en [●],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Acuerdo Marco para la contratación de los Seguros Todo Riesgo Daños Materiales para las Empresas del Grupo Veolia Agbar (Referencia: 2025_C15_0004), el contenido de los cuales conoce y acepta íntegramente, y con aquello establecido en la documentación técnica de su oferta, para el caso de resultar adjudicataria, se obliga a la realización del servicio adjudicado, según los precios ofertados a continuación: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spacing w:lineRule="auto" w:line="252" w:before="0" w:after="160"/>
        <w:ind w:hanging="360" w:left="720" w:right="0"/>
        <w:jc w:val="left"/>
        <w:rPr>
          <w:rFonts w:ascii="Arial Narrow" w:hAnsi="Arial Narrow" w:eastAsia="Arial Narrow" w:cs="Arial Narrow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 Narrow" w:cs="Arial Narrow" w:ascii="Arial Narrow" w:hAnsi="Arial Narrow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Proposición económica:</w:t>
      </w:r>
    </w:p>
    <w:tbl>
      <w:tblPr>
        <w:tblStyle w:val="Table2"/>
        <w:tblW w:w="8494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178"/>
        <w:gridCol w:w="4315"/>
      </w:tblGrid>
      <w:tr>
        <w:trPr>
          <w:trHeight w:val="288" w:hRule="atLeast"/>
        </w:trPr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jc w:val="center"/>
              <w:rPr>
                <w:rFonts w:ascii="Arial Narrow" w:hAnsi="Arial Narrow" w:eastAsia="Arial Narrow" w:cs="Arial Narrow"/>
                <w:b/>
                <w:color w:val="000000"/>
              </w:rPr>
            </w:pPr>
            <w:r>
              <w:rPr>
                <w:rFonts w:eastAsia="Arial Narrow" w:cs="Arial Narrow" w:ascii="Arial Narrow" w:hAnsi="Arial Narrow"/>
                <w:b/>
                <w:color w:val="000000"/>
              </w:rPr>
              <w:t>PRESUPUESTO ANUAL LICITACIÓN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jc w:val="center"/>
              <w:rPr>
                <w:rFonts w:ascii="Arial Narrow" w:hAnsi="Arial Narrow" w:eastAsia="Arial Narrow" w:cs="Arial Narrow"/>
                <w:b/>
                <w:color w:val="000000"/>
              </w:rPr>
            </w:pPr>
            <w:r>
              <w:rPr>
                <w:rFonts w:eastAsia="Arial Narrow" w:cs="Arial Narrow" w:ascii="Arial Narrow" w:hAnsi="Arial Narrow"/>
                <w:b/>
                <w:color w:val="000000"/>
              </w:rPr>
              <w:t>OFERTA LICITADOR</w:t>
            </w:r>
          </w:p>
        </w:tc>
      </w:tr>
      <w:tr>
        <w:trPr>
          <w:trHeight w:val="288" w:hRule="atLeast"/>
        </w:trPr>
        <w:tc>
          <w:tcPr>
            <w:tcW w:w="4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widowControl/>
              <w:spacing w:lineRule="auto" w:line="240" w:before="120" w:after="120"/>
              <w:ind w:hanging="720" w:left="720" w:right="0"/>
              <w:jc w:val="center"/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eastAsia="Arial Narrow" w:cs="Arial Narrow" w:ascii="Arial Narrow" w:hAnsi="Arial Narrow"/>
                <w:sz w:val="22"/>
                <w:szCs w:val="22"/>
              </w:rPr>
              <w:t>1.450.000 euros (CLEA + IPS incluidos)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120" w:after="120"/>
              <w:jc w:val="center"/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eastAsia="Arial Narrow" w:cs="Arial Narrow" w:ascii="Arial Narrow" w:hAnsi="Arial Narrow"/>
                <w:sz w:val="22"/>
                <w:szCs w:val="22"/>
              </w:rPr>
              <w:t>_______________ euros (CLEA + IPS incluidos)</w:t>
            </w:r>
          </w:p>
        </w:tc>
      </w:tr>
    </w:tbl>
    <w:p>
      <w:pPr>
        <w:pStyle w:val="Normal1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b/>
          <w:color w:val="000000"/>
        </w:rPr>
      </w:pPr>
      <w:r>
        <w:rPr>
          <w:rFonts w:eastAsia="Arial" w:cs="Arial" w:ascii="Arial" w:hAnsi="Arial"/>
          <w:b/>
          <w:color w:val="000000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 xml:space="preserve">La presente proposición económica tiene una vigencia de CIENTO VEINTE (120) días.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Y a los efectos oportunos, firma la presente, en [●], [●] de [●] de 202[●].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 xml:space="preserve">Firma: [●]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i/>
          <w:i/>
          <w:sz w:val="22"/>
          <w:szCs w:val="22"/>
        </w:rPr>
      </w:pPr>
      <w:r>
        <w:rPr>
          <w:rFonts w:eastAsia="Arial Narrow" w:cs="Arial Narrow" w:ascii="Arial Narrow" w:hAnsi="Arial Narrow"/>
          <w:i/>
          <w:sz w:val="22"/>
          <w:szCs w:val="22"/>
        </w:rPr>
        <w:t>(Quedarán excluidas del presente procedimiento aquellas ofertas que no se ajusten al formato del presente anexo, sean incompletas, anómalas, contengan subsanaciones, errores y/u omisiones, que no permitan conocer claramente las condiciones para valorar la oferta o induzcan a error. Así mismo, quedarán excluidos del procedimiento de adjudicación aquellos operadores económicos la oferta económica de los cuales supere el presupuesto máximo de licitación).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i/>
          <w:i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Book Antiqua">
    <w:charset w:val="00"/>
    <w:family w:val="swiss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Arial">
    <w:charset w:val="00"/>
    <w:family w:val="roman"/>
    <w:pitch w:val="variable"/>
  </w:font>
  <w:font w:name="Roboto Ligh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125" cy="409575"/>
          <wp:effectExtent l="0" t="0" r="0" b="0"/>
          <wp:docPr id="1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spacing w:lineRule="auto" w:line="276"/>
      <w:ind w:hanging="142" w:left="142" w:right="7511"/>
      <w:jc w:val="right"/>
      <w:rPr/>
    </w:pPr>
    <w:r>
      <w:rPr/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left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0"/>
      <w:ind w:hanging="0" w:left="0" w:right="0"/>
      <w:jc w:val="left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singl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1F4D78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76" w:before="360" w:after="600"/>
      <w:ind w:hanging="0" w:left="0" w:right="0"/>
      <w:jc w:val="center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312" w:before="120" w:after="120"/>
      <w:ind w:hanging="0" w:left="0" w:right="0"/>
      <w:jc w:val="both"/>
    </w:pPr>
    <w:rPr>
      <w:rFonts w:ascii="Book Antiqua" w:hAnsi="Book Antiqua" w:eastAsia="Book Antiqua" w:cs="Book Antiqua"/>
      <w:b/>
      <w:i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1</Pages>
  <Words>242</Words>
  <Characters>1364</Characters>
  <CharactersWithSpaces>1674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2025-10-01T13:19:39Z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>Temas relacionados</vt:lpwstr>
  </property>
</Properties>
</file>