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bookmarkStart w:colFirst="0" w:colLast="0" w:name="_heading=h.o1erd0i5275n" w:id="0"/>
      <w:bookmarkEnd w:id="0"/>
      <w:r w:rsidDel="00000000" w:rsidR="00000000" w:rsidRPr="00000000">
        <w:rPr>
          <w:rtl w:val="0"/>
        </w:rPr>
        <w:t xml:space="preserve">ANEXO NÚM. 8-B: PROPOSICIÓN TÉCNICA </w:t>
      </w:r>
    </w:p>
    <w:p w:rsidR="00000000" w:rsidDel="00000000" w:rsidP="00000000" w:rsidRDefault="00000000" w:rsidRPr="00000000" w14:paraId="00000002">
      <w:pPr>
        <w:pStyle w:val="Heading1"/>
        <w:rPr/>
      </w:pPr>
      <w:bookmarkStart w:colFirst="0" w:colLast="0" w:name="_heading=h.nozbymwhdygw" w:id="1"/>
      <w:bookmarkEnd w:id="1"/>
      <w:r w:rsidDel="00000000" w:rsidR="00000000" w:rsidRPr="00000000">
        <w:rPr>
          <w:rtl w:val="0"/>
        </w:rPr>
        <w:t xml:space="preserve">CON CRITERIOS OBJETIVOS DE APLICACIÓN AUTOMÁTICA</w:t>
      </w:r>
    </w:p>
    <w:p w:rsidR="00000000" w:rsidDel="00000000" w:rsidP="00000000" w:rsidRDefault="00000000" w:rsidRPr="00000000" w14:paraId="00000003">
      <w:pPr>
        <w:spacing w:line="259" w:lineRule="auto"/>
        <w:jc w:val="center"/>
        <w:rPr>
          <w:rFonts w:ascii="Arial Narrow" w:cs="Arial Narrow" w:eastAsia="Arial Narrow" w:hAnsi="Arial Narrow"/>
          <w:b w:val="1"/>
          <w:smallCaps w:val="1"/>
          <w:sz w:val="22"/>
          <w:szCs w:val="22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D./Dª. [●], mayor de edad, con domicilio a estos efectos en [●],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Acuerdo Marco para el suministro en régimen de arrendamiento (Renting) de vehículos en beneficio de las empresas del Grupo Agbar (Referencia 2024_C20_0002), el contenido de los cuales conoce y acepta íntegramente, y con aquello establecido en la documentación técnica de su oferta, para el caso de resultar adjudicataria, se obliga a la realización del servicio adjudicado, según la proposición técnica indicada a continuación: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Se detallan a continuación los servicios a dar respuesta y su ponderación en la evaluación.</w:t>
      </w:r>
    </w:p>
    <w:p w:rsidR="00000000" w:rsidDel="00000000" w:rsidP="00000000" w:rsidRDefault="00000000" w:rsidRPr="00000000" w14:paraId="00000007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La valoración máxima del conjunto de aspectos recogidos en este apartado será de 15 puntos.</w:t>
      </w:r>
    </w:p>
    <w:p w:rsidR="00000000" w:rsidDel="00000000" w:rsidP="00000000" w:rsidRDefault="00000000" w:rsidRPr="00000000" w14:paraId="00000009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Para los servicios identificados como (3) Vehículo en taller, (4) Gestoría especializada y (5) Devolución vehículos, los licitadores deben responder “SÍ” o “NO”, en función de si se obligan a prestar el servicio. Si la respuesta es “SI”, se le asigna la valoración total de los puntos asignados a ese servicio. Si la respuesta es “NO”, no se le asigna ninguna puntuación.</w:t>
      </w:r>
    </w:p>
    <w:p w:rsidR="00000000" w:rsidDel="00000000" w:rsidP="00000000" w:rsidRDefault="00000000" w:rsidRPr="00000000" w14:paraId="0000000B">
      <w:pPr>
        <w:widowControl w:val="1"/>
        <w:spacing w:line="259" w:lineRule="auto"/>
        <w:jc w:val="both"/>
        <w:rPr>
          <w:rFonts w:ascii="Arial Narrow" w:cs="Arial Narrow" w:eastAsia="Arial Narrow" w:hAnsi="Arial Narrow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spacing w:line="259" w:lineRule="auto"/>
        <w:jc w:val="both"/>
        <w:rPr>
          <w:rFonts w:ascii="Arial Narrow" w:cs="Arial Narrow" w:eastAsia="Arial Narrow" w:hAnsi="Arial Narrow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1"/>
            <w:tblW w:w="9030.0" w:type="dxa"/>
            <w:jc w:val="left"/>
            <w:tbl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  <w:insideH w:color="000000" w:space="0" w:sz="0" w:val="nil"/>
              <w:insideV w:color="000000" w:space="0" w:sz="0" w:val="nil"/>
            </w:tblBorders>
            <w:tblLayout w:type="fixed"/>
            <w:tblLook w:val="0600"/>
          </w:tblPr>
          <w:tblGrid>
            <w:gridCol w:w="360"/>
            <w:gridCol w:w="1305"/>
            <w:gridCol w:w="4305"/>
            <w:gridCol w:w="1050"/>
            <w:gridCol w:w="2010"/>
            <w:tblGridChange w:id="0">
              <w:tblGrid>
                <w:gridCol w:w="360"/>
                <w:gridCol w:w="1305"/>
                <w:gridCol w:w="4305"/>
                <w:gridCol w:w="1050"/>
                <w:gridCol w:w="2010"/>
              </w:tblGrid>
            </w:tblGridChange>
          </w:tblGrid>
          <w:tr>
            <w:trPr>
              <w:cantSplit w:val="0"/>
              <w:trHeight w:val="1380" w:hRule="atLeast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0" w:val="nil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0D">
                <w:pPr>
                  <w:spacing w:line="276" w:lineRule="auto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0E">
                <w:pPr>
                  <w:spacing w:line="276" w:lineRule="auto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6" w:val="single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shd w:fill="cccccc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0F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Criterios</w:t>
                </w:r>
              </w:p>
              <w:p w:rsidR="00000000" w:rsidDel="00000000" w:rsidP="00000000" w:rsidRDefault="00000000" w:rsidRPr="00000000" w14:paraId="00000010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OBJETIVOS DE APLICACIÓN AUTOMÁTICA</w:t>
                </w:r>
              </w:p>
              <w:p w:rsidR="00000000" w:rsidDel="00000000" w:rsidP="00000000" w:rsidRDefault="00000000" w:rsidRPr="00000000" w14:paraId="00000011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(puntuación máxima 15 puntos)</w:t>
                </w:r>
              </w:p>
            </w:tc>
            <w:tc>
              <w:tcPr>
                <w:tcBorders>
                  <w:top w:color="000000" w:space="0" w:sz="6" w:val="single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shd w:fill="cccccc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2">
                <w:pPr>
                  <w:spacing w:line="276" w:lineRule="auto"/>
                  <w:jc w:val="center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Respuesta</w:t>
                </w:r>
              </w:p>
              <w:p w:rsidR="00000000" w:rsidDel="00000000" w:rsidP="00000000" w:rsidRDefault="00000000" w:rsidRPr="00000000" w14:paraId="00000013">
                <w:pPr>
                  <w:spacing w:line="276" w:lineRule="auto"/>
                  <w:jc w:val="center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SI / NO</w:t>
                </w:r>
              </w:p>
            </w:tc>
            <w:tc>
              <w:tcPr>
                <w:tcBorders>
                  <w:top w:color="000000" w:space="0" w:sz="6" w:val="single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shd w:fill="cccccc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4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Valoración</w:t>
                </w:r>
              </w:p>
              <w:p w:rsidR="00000000" w:rsidDel="00000000" w:rsidP="00000000" w:rsidRDefault="00000000" w:rsidRPr="00000000" w14:paraId="00000015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(puntuación máxima 15 puntos)</w:t>
                </w:r>
              </w:p>
            </w:tc>
          </w:tr>
          <w:tr>
            <w:trPr>
              <w:cantSplit w:val="0"/>
              <w:trHeight w:val="1425" w:hRule="atLeast"/>
              <w:tblHeader w:val="0"/>
            </w:trPr>
            <w:tc>
              <w:tcPr>
                <w:tcBorders>
                  <w:top w:color="000000" w:space="0" w:sz="0" w:val="nil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shd w:fill="cccccc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6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3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shd w:fill="cccccc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7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Vehículo en taller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44546a" w:space="0" w:sz="6" w:val="single"/>
                  <w:right w:color="44546a" w:space="0" w:sz="6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8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El CONTRATISTA abonará al CLIENTE las cuotas de renting cuando el vehículo esté inmovilizado en el taller por un plazo superior a 30 días.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44546a" w:space="0" w:sz="6" w:val="single"/>
                  <w:right w:color="000000" w:space="0" w:sz="6" w:val="single"/>
                </w:tcBorders>
                <w:shd w:fill="9cc2e5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9">
                <w:pPr>
                  <w:spacing w:line="276" w:lineRule="auto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A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SI = 5 puntos</w:t>
                </w:r>
              </w:p>
              <w:p w:rsidR="00000000" w:rsidDel="00000000" w:rsidP="00000000" w:rsidRDefault="00000000" w:rsidRPr="00000000" w14:paraId="0000001B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NO = 0 puntos</w:t>
                </w:r>
              </w:p>
            </w:tc>
          </w:tr>
          <w:tr>
            <w:trPr>
              <w:cantSplit w:val="0"/>
              <w:trHeight w:val="285" w:hRule="atLeast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0" w:val="nil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C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0" w:val="nil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D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44546a" w:space="0" w:sz="6" w:val="single"/>
                  <w:right w:color="000000" w:space="0" w:sz="0" w:val="nil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E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0" w:val="nil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1F">
                <w:pPr>
                  <w:spacing w:line="276" w:lineRule="auto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0" w:val="nil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0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945" w:hRule="atLeast"/>
              <w:tblHeader w:val="0"/>
            </w:trPr>
            <w:tc>
              <w:tcPr>
                <w:tcBorders>
                  <w:top w:color="000000" w:space="0" w:sz="0" w:val="nil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1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4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2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Gestoría especializada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44546a" w:space="0" w:sz="6" w:val="single"/>
                  <w:right w:color="000000" w:space="0" w:sz="6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3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El CONTRATISTA pondrá a disposición del CLIENTE 160 horas anuales de gestoría especializada por Consultores Seniors para dar soporte en la gestión de subvenciones, ayudas, gestiones con las administraciones, etc.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shd w:fill="9cc2e5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4">
                <w:pPr>
                  <w:spacing w:line="276" w:lineRule="auto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5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SI = 5 puntos</w:t>
                </w:r>
              </w:p>
              <w:p w:rsidR="00000000" w:rsidDel="00000000" w:rsidP="00000000" w:rsidRDefault="00000000" w:rsidRPr="00000000" w14:paraId="00000026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NO = 0 puntos</w:t>
                </w:r>
              </w:p>
            </w:tc>
          </w:tr>
          <w:tr>
            <w:trPr>
              <w:cantSplit w:val="0"/>
              <w:trHeight w:val="285" w:hRule="atLeast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0" w:val="nil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7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0" w:val="nil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8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44546a" w:space="0" w:sz="6" w:val="single"/>
                  <w:right w:color="000000" w:space="0" w:sz="0" w:val="nil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9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0" w:val="nil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A">
                <w:pPr>
                  <w:spacing w:line="276" w:lineRule="auto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0" w:val="nil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B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1635" w:hRule="atLeast"/>
              <w:tblHeader w:val="0"/>
            </w:trPr>
            <w:tc>
              <w:tcPr>
                <w:tcBorders>
                  <w:top w:color="000000" w:space="0" w:sz="0" w:val="nil"/>
                  <w:left w:color="000000" w:space="0" w:sz="6" w:val="single"/>
                  <w:bottom w:color="000000" w:space="0" w:sz="6" w:val="single"/>
                  <w:right w:color="000000" w:space="0" w:sz="6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C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5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shd w:fill="d9d9d9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D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Devolución vehículos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44546a" w:space="0" w:sz="6" w:val="single"/>
                  <w:right w:color="000000" w:space="0" w:sz="6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E">
                <w:pPr>
                  <w:spacing w:line="276" w:lineRule="auto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El CONTRATISTA asumirá hasta 500 € de los gastos necesarios para restablecer el vehículo a las mismas condiciones y aspecto que tenía en el momento de su puesta a disposición. Quedan incluidos los daños internos, salvo el normal desgaste motivado por el uso, pero no los faltantes.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shd w:fill="9cc2e5" w:val="clear"/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2F">
                <w:pPr>
                  <w:spacing w:line="276" w:lineRule="auto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6" w:val="single"/>
                  <w:right w:color="000000" w:space="0" w:sz="6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center"/>
              </w:tcPr>
              <w:p w:rsidR="00000000" w:rsidDel="00000000" w:rsidP="00000000" w:rsidRDefault="00000000" w:rsidRPr="00000000" w14:paraId="00000030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SI = 5 puntos</w:t>
                </w:r>
              </w:p>
              <w:p w:rsidR="00000000" w:rsidDel="00000000" w:rsidP="00000000" w:rsidRDefault="00000000" w:rsidRPr="00000000" w14:paraId="00000031">
                <w:pPr>
                  <w:spacing w:line="276" w:lineRule="auto"/>
                  <w:jc w:val="center"/>
                  <w:rPr>
                    <w:rFonts w:ascii="Arial Narrow" w:cs="Arial Narrow" w:eastAsia="Arial Narrow" w:hAnsi="Arial Narrow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Arial Narrow" w:cs="Arial Narrow" w:eastAsia="Arial Narrow" w:hAnsi="Arial Narrow"/>
                    <w:sz w:val="20"/>
                    <w:szCs w:val="20"/>
                    <w:rtl w:val="0"/>
                  </w:rPr>
                  <w:t xml:space="preserve">NO = 0 puntos</w:t>
                </w:r>
              </w:p>
            </w:tc>
          </w:tr>
        </w:tbl>
      </w:sdtContent>
    </w:sdt>
    <w:p w:rsidR="00000000" w:rsidDel="00000000" w:rsidP="00000000" w:rsidRDefault="00000000" w:rsidRPr="00000000" w14:paraId="00000032">
      <w:pPr>
        <w:widowControl w:val="1"/>
        <w:spacing w:line="259" w:lineRule="auto"/>
        <w:jc w:val="both"/>
        <w:rPr>
          <w:rFonts w:ascii="Arial Narrow" w:cs="Arial Narrow" w:eastAsia="Arial Narrow" w:hAnsi="Arial Narrow"/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La presente proposición técnica tiene una vigencia de SEIS (6) meses. </w:t>
      </w:r>
    </w:p>
    <w:p w:rsidR="00000000" w:rsidDel="00000000" w:rsidP="00000000" w:rsidRDefault="00000000" w:rsidRPr="00000000" w14:paraId="00000036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Y a los efectos oportunos, firma la presente, en [●], [●] de [●] de 202[●].</w:t>
      </w:r>
    </w:p>
    <w:p w:rsidR="00000000" w:rsidDel="00000000" w:rsidP="00000000" w:rsidRDefault="00000000" w:rsidRPr="00000000" w14:paraId="00000038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Firma: [●] </w:t>
      </w:r>
    </w:p>
    <w:p w:rsidR="00000000" w:rsidDel="00000000" w:rsidP="00000000" w:rsidRDefault="00000000" w:rsidRPr="00000000" w14:paraId="0000003A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59" w:lineRule="auto"/>
        <w:jc w:val="both"/>
        <w:rPr>
          <w:rFonts w:ascii="Arial Narrow" w:cs="Arial Narrow" w:eastAsia="Arial Narrow" w:hAnsi="Arial Narrow"/>
          <w:i w:val="1"/>
          <w:sz w:val="22"/>
          <w:szCs w:val="22"/>
          <w:highlight w:val="yellow"/>
        </w:rPr>
      </w:pPr>
      <w:r w:rsidDel="00000000" w:rsidR="00000000" w:rsidRPr="00000000">
        <w:rPr>
          <w:rFonts w:ascii="Arial Narrow" w:cs="Arial Narrow" w:eastAsia="Arial Narrow" w:hAnsi="Arial Narrow"/>
          <w:i w:val="1"/>
          <w:sz w:val="22"/>
          <w:szCs w:val="22"/>
          <w:rtl w:val="0"/>
        </w:rPr>
        <w:t xml:space="preserve">(Quedarán excluidas del presente procedimiento aquellas ofertas que no se ajusten al formato del presente anexo, sean incompletas, anómalas, contengan subsanaciones, errores y/u omisiones, que no permitan conocer claramente las condiciones para valorar la oferta o induzcan a error.)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Style w:val="Heading1"/>
        <w:keepNext w:val="1"/>
        <w:widowControl w:val="1"/>
        <w:spacing w:after="60" w:before="240" w:line="259" w:lineRule="auto"/>
        <w:jc w:val="center"/>
        <w:rPr/>
      </w:pPr>
      <w:bookmarkStart w:colFirst="0" w:colLast="0" w:name="_heading=h.mwl3xnceivu9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1"/>
        <w:ind w:left="142" w:right="-568" w:firstLine="0"/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 Antiqu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jc w:val="right"/>
      <w:rPr>
        <w:rFonts w:ascii="Arial Narrow" w:cs="Arial Narrow" w:eastAsia="Arial Narrow" w:hAnsi="Arial Narrow"/>
      </w:rPr>
    </w:pPr>
    <w:r w:rsidDel="00000000" w:rsidR="00000000" w:rsidRPr="00000000">
      <w:rPr>
        <w:rFonts w:ascii="Arial Narrow" w:cs="Arial Narrow" w:eastAsia="Arial Narrow" w:hAnsi="Arial Narrow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spacing w:line="276" w:lineRule="auto"/>
      <w:ind w:firstLine="720"/>
      <w:jc w:val="both"/>
      <w:rPr>
        <w:rFonts w:ascii="Arial Narrow" w:cs="Arial Narrow" w:eastAsia="Arial Narrow" w:hAnsi="Arial Narrow"/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</w:rPr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4550100</wp:posOffset>
          </wp:positionH>
          <wp:positionV relativeFrom="margin">
            <wp:posOffset>-775556</wp:posOffset>
          </wp:positionV>
          <wp:extent cx="1590675" cy="476250"/>
          <wp:effectExtent b="0" l="0" r="0" t="0"/>
          <wp:wrapNone/>
          <wp:docPr id="5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90675" cy="476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spacing w:line="276" w:lineRule="auto"/>
      <w:ind w:firstLine="720"/>
      <w:jc w:val="both"/>
      <w:rPr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PLIEGO DE CONDICIONES GENERALES: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spacing w:line="276" w:lineRule="auto"/>
      <w:ind w:left="708.6614173228347" w:firstLine="0"/>
      <w:jc w:val="both"/>
      <w:rPr/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PROCEDIMIENTO ABIERTO PARA LA ADJUDICACIÓN DEL ACUERDO MARCO PARA EL SUMINISTRO EN RÉGIMEN DE ARRENDAMIENTO (RENTING) DE VEHÍCULOS EN BENEFICIO DE LAS EMPRESAS DEL GRUPO AGBAR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spacing w:line="276" w:lineRule="auto"/>
      <w:ind w:firstLine="720"/>
      <w:jc w:val="both"/>
      <w:rPr>
        <w:rFonts w:ascii="Arial Narrow" w:cs="Arial Narrow" w:eastAsia="Arial Narrow" w:hAnsi="Arial Narrow"/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</w:rPr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4616775</wp:posOffset>
          </wp:positionH>
          <wp:positionV relativeFrom="margin">
            <wp:posOffset>-781043</wp:posOffset>
          </wp:positionV>
          <wp:extent cx="1590675" cy="476250"/>
          <wp:effectExtent b="0" l="0" r="0" t="0"/>
          <wp:wrapNone/>
          <wp:docPr id="5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90675" cy="476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spacing w:line="276" w:lineRule="auto"/>
      <w:ind w:left="708.6614173228347" w:firstLine="0"/>
      <w:jc w:val="both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ook Antiqua" w:cs="Book Antiqua" w:eastAsia="Book Antiqua" w:hAnsi="Book Antiqua"/>
        <w:sz w:val="24"/>
        <w:szCs w:val="24"/>
        <w:lang w:val="ca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9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0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9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0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BookAntiqua-regular.ttf"/><Relationship Id="rId6" Type="http://schemas.openxmlformats.org/officeDocument/2006/relationships/font" Target="fonts/BookAntiqua-bold.ttf"/><Relationship Id="rId7" Type="http://schemas.openxmlformats.org/officeDocument/2006/relationships/font" Target="fonts/BookAntiqua-italic.ttf"/><Relationship Id="rId8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3PWukP/FTf1kmgsneGO7n4Yjww==">CgMxLjAaHgoBMBIZChcICVITChF0YWJsZS5ydTRlNmFxbGMzZjIOaC5vMWVyZDBpNTI3NW4yDmgubm96Ynltd2hkeWd3Mg5oLm13bDN4bmNlaXZ1OTgAciExRDl3UWhCQXplajlEWkJJRHZGTmdVdjF0MG8yYmI5bGg=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